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B" w:rsidRPr="007F1EBB" w:rsidRDefault="007F1EBB" w:rsidP="007F1EBB">
      <w:pPr>
        <w:jc w:val="center"/>
        <w:rPr>
          <w:rFonts w:ascii="Century Gothic" w:hAnsi="Century Gothic"/>
          <w:b/>
          <w:sz w:val="32"/>
          <w:szCs w:val="32"/>
        </w:rPr>
      </w:pPr>
      <w:r w:rsidRPr="007F1EBB">
        <w:rPr>
          <w:rFonts w:ascii="Century Gothic" w:hAnsi="Century Gothic"/>
          <w:b/>
          <w:sz w:val="32"/>
          <w:szCs w:val="32"/>
        </w:rPr>
        <w:t>National Technical REDD Committee</w:t>
      </w:r>
    </w:p>
    <w:p w:rsidR="007F1EBB" w:rsidRPr="007F1EBB" w:rsidRDefault="007F1EBB" w:rsidP="007F1EBB">
      <w:pPr>
        <w:jc w:val="center"/>
        <w:rPr>
          <w:rFonts w:ascii="Century Gothic" w:hAnsi="Century Gothic"/>
          <w:b/>
          <w:sz w:val="32"/>
          <w:szCs w:val="32"/>
        </w:rPr>
      </w:pPr>
      <w:r w:rsidRPr="007F1EBB">
        <w:rPr>
          <w:rFonts w:ascii="Century Gothic" w:hAnsi="Century Gothic"/>
          <w:b/>
          <w:sz w:val="32"/>
          <w:szCs w:val="32"/>
        </w:rPr>
        <w:t>&amp;</w:t>
      </w:r>
    </w:p>
    <w:p w:rsidR="007F1EBB" w:rsidRPr="007F1EBB" w:rsidRDefault="007F1EBB" w:rsidP="007F1EBB">
      <w:pPr>
        <w:jc w:val="center"/>
        <w:rPr>
          <w:rFonts w:ascii="Century Gothic" w:hAnsi="Century Gothic"/>
          <w:b/>
          <w:sz w:val="32"/>
          <w:szCs w:val="32"/>
        </w:rPr>
      </w:pPr>
      <w:r w:rsidRPr="007F1EBB">
        <w:rPr>
          <w:rFonts w:ascii="Century Gothic" w:hAnsi="Century Gothic"/>
          <w:b/>
          <w:sz w:val="32"/>
          <w:szCs w:val="32"/>
        </w:rPr>
        <w:t>Climate Change Unit, Forestry Commission</w:t>
      </w:r>
    </w:p>
    <w:p w:rsidR="007F1EBB" w:rsidRDefault="007F1EBB" w:rsidP="00E9682F">
      <w:pPr>
        <w:jc w:val="center"/>
        <w:rPr>
          <w:rFonts w:ascii="Century Gothic" w:hAnsi="Century Gothic"/>
          <w:b/>
          <w:sz w:val="32"/>
          <w:szCs w:val="32"/>
        </w:rPr>
      </w:pPr>
    </w:p>
    <w:p w:rsidR="007F1EBB" w:rsidRDefault="007F1EBB" w:rsidP="00E9682F">
      <w:pPr>
        <w:jc w:val="center"/>
        <w:rPr>
          <w:rFonts w:ascii="Century Gothic" w:hAnsi="Century Gothic"/>
          <w:b/>
          <w:sz w:val="32"/>
          <w:szCs w:val="32"/>
        </w:rPr>
      </w:pPr>
    </w:p>
    <w:p w:rsidR="00131BEB" w:rsidRPr="007F1EBB" w:rsidRDefault="006B09FE" w:rsidP="00E9682F">
      <w:pPr>
        <w:jc w:val="center"/>
        <w:rPr>
          <w:rFonts w:ascii="Century Gothic" w:hAnsi="Century Gothic"/>
          <w:b/>
          <w:sz w:val="28"/>
          <w:szCs w:val="28"/>
        </w:rPr>
      </w:pPr>
      <w:r w:rsidRPr="007F1EBB">
        <w:rPr>
          <w:rFonts w:ascii="Century Gothic" w:hAnsi="Century Gothic"/>
          <w:b/>
          <w:sz w:val="28"/>
          <w:szCs w:val="28"/>
        </w:rPr>
        <w:t>Operationalis</w:t>
      </w:r>
      <w:r w:rsidR="00131BEB" w:rsidRPr="007F1EBB">
        <w:rPr>
          <w:rFonts w:ascii="Century Gothic" w:hAnsi="Century Gothic"/>
          <w:b/>
          <w:sz w:val="28"/>
          <w:szCs w:val="28"/>
        </w:rPr>
        <w:t xml:space="preserve">ing Carbon Finance for Sustainable </w:t>
      </w:r>
      <w:r w:rsidR="007C3A22" w:rsidRPr="007F1EBB">
        <w:rPr>
          <w:rFonts w:ascii="Century Gothic" w:hAnsi="Century Gothic"/>
          <w:b/>
          <w:sz w:val="28"/>
          <w:szCs w:val="28"/>
        </w:rPr>
        <w:t>Tree Crops</w:t>
      </w:r>
      <w:r w:rsidR="00131BEB" w:rsidRPr="007F1EBB">
        <w:rPr>
          <w:rFonts w:ascii="Century Gothic" w:hAnsi="Century Gothic"/>
          <w:b/>
          <w:sz w:val="28"/>
          <w:szCs w:val="28"/>
        </w:rPr>
        <w:t xml:space="preserve"> in Ghana</w:t>
      </w:r>
    </w:p>
    <w:p w:rsidR="00131BEB" w:rsidRDefault="00131BEB" w:rsidP="00E9682F">
      <w:pPr>
        <w:jc w:val="center"/>
        <w:rPr>
          <w:rFonts w:ascii="Century Gothic" w:hAnsi="Century Gothic"/>
          <w:b/>
        </w:rPr>
      </w:pPr>
    </w:p>
    <w:p w:rsidR="003C524A" w:rsidRPr="005A4A08" w:rsidRDefault="003C524A" w:rsidP="00E9682F">
      <w:pPr>
        <w:jc w:val="center"/>
        <w:rPr>
          <w:rFonts w:ascii="Century Gothic" w:hAnsi="Century Gothic"/>
          <w:b/>
        </w:rPr>
      </w:pPr>
    </w:p>
    <w:p w:rsidR="00131BEB" w:rsidRDefault="001C55F9" w:rsidP="00E9682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</w:t>
      </w:r>
      <w:r w:rsidRPr="001C55F9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</w:t>
      </w:r>
      <w:r w:rsidR="00477568">
        <w:rPr>
          <w:rFonts w:ascii="Century Gothic" w:hAnsi="Century Gothic"/>
          <w:b/>
        </w:rPr>
        <w:t>Roundtable on</w:t>
      </w:r>
      <w:r w:rsidR="00131BEB" w:rsidRPr="005A4A0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Carbon </w:t>
      </w:r>
      <w:r w:rsidR="00131BEB" w:rsidRPr="005A4A08">
        <w:rPr>
          <w:rFonts w:ascii="Century Gothic" w:hAnsi="Century Gothic"/>
          <w:b/>
        </w:rPr>
        <w:t>Poli</w:t>
      </w:r>
      <w:r w:rsidR="003C524A">
        <w:rPr>
          <w:rFonts w:ascii="Century Gothic" w:hAnsi="Century Gothic"/>
          <w:b/>
        </w:rPr>
        <w:t xml:space="preserve">cy and Governance </w:t>
      </w:r>
      <w:r>
        <w:rPr>
          <w:rFonts w:ascii="Century Gothic" w:hAnsi="Century Gothic"/>
          <w:b/>
        </w:rPr>
        <w:t>in Ghana</w:t>
      </w:r>
    </w:p>
    <w:p w:rsidR="003C524A" w:rsidRDefault="003C524A" w:rsidP="00E9682F">
      <w:pPr>
        <w:jc w:val="center"/>
        <w:rPr>
          <w:rFonts w:ascii="Century Gothic" w:hAnsi="Century Gothic"/>
          <w:b/>
        </w:rPr>
      </w:pPr>
    </w:p>
    <w:p w:rsidR="003C524A" w:rsidRDefault="003C524A" w:rsidP="00E9682F">
      <w:pPr>
        <w:jc w:val="center"/>
        <w:rPr>
          <w:rFonts w:ascii="Century Gothic" w:hAnsi="Century Gothic"/>
          <w:b/>
        </w:rPr>
      </w:pPr>
    </w:p>
    <w:p w:rsidR="003C524A" w:rsidRDefault="00477568" w:rsidP="00E9682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November 27 &amp; 28, 2008</w:t>
      </w:r>
    </w:p>
    <w:p w:rsidR="002151FD" w:rsidRPr="005A4A08" w:rsidRDefault="001C55F9" w:rsidP="004850F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Venue: </w:t>
      </w:r>
      <w:r w:rsidR="002151FD">
        <w:rPr>
          <w:rFonts w:ascii="Century Gothic" w:hAnsi="Century Gothic"/>
          <w:b/>
        </w:rPr>
        <w:t>Coconut Grove</w:t>
      </w:r>
      <w:r w:rsidR="004850F4">
        <w:rPr>
          <w:rFonts w:ascii="Century Gothic" w:hAnsi="Century Gothic"/>
          <w:b/>
        </w:rPr>
        <w:t xml:space="preserve"> Regency</w:t>
      </w:r>
      <w:r w:rsidR="002151FD">
        <w:rPr>
          <w:rFonts w:ascii="Century Gothic" w:hAnsi="Century Gothic"/>
          <w:b/>
        </w:rPr>
        <w:t xml:space="preserve"> Hotel</w:t>
      </w:r>
      <w:r w:rsidR="004850F4">
        <w:rPr>
          <w:rFonts w:ascii="Century Gothic" w:hAnsi="Century Gothic"/>
          <w:b/>
        </w:rPr>
        <w:t xml:space="preserve">, </w:t>
      </w:r>
      <w:r w:rsidR="002151FD">
        <w:rPr>
          <w:rFonts w:ascii="Century Gothic" w:hAnsi="Century Gothic"/>
          <w:b/>
        </w:rPr>
        <w:t>Accra</w:t>
      </w:r>
    </w:p>
    <w:p w:rsidR="00131BEB" w:rsidRDefault="00131BEB" w:rsidP="00760689">
      <w:pPr>
        <w:jc w:val="both"/>
        <w:rPr>
          <w:rFonts w:ascii="Century Gothic" w:hAnsi="Century Gothic"/>
          <w:b/>
          <w:sz w:val="20"/>
          <w:szCs w:val="20"/>
        </w:rPr>
      </w:pPr>
    </w:p>
    <w:p w:rsidR="00BB23B7" w:rsidRDefault="00BB23B7" w:rsidP="00760689">
      <w:pPr>
        <w:jc w:val="both"/>
        <w:rPr>
          <w:rFonts w:ascii="Century Gothic" w:hAnsi="Century Gothic"/>
          <w:b/>
          <w:sz w:val="20"/>
          <w:szCs w:val="20"/>
        </w:rPr>
      </w:pPr>
    </w:p>
    <w:p w:rsidR="00131BEB" w:rsidRPr="00BB23B7" w:rsidRDefault="00131BEB" w:rsidP="00760689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B23B7">
        <w:rPr>
          <w:rFonts w:ascii="Century Gothic" w:hAnsi="Century Gothic"/>
          <w:b/>
          <w:sz w:val="20"/>
          <w:szCs w:val="20"/>
          <w:u w:val="single"/>
        </w:rPr>
        <w:t>Introduction and context</w:t>
      </w:r>
    </w:p>
    <w:p w:rsidR="00131BEB" w:rsidRDefault="00131BEB" w:rsidP="00760689">
      <w:pPr>
        <w:jc w:val="both"/>
        <w:rPr>
          <w:rFonts w:ascii="Century Gothic" w:hAnsi="Century Gothic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/>
              <w:sz w:val="20"/>
              <w:szCs w:val="20"/>
            </w:rPr>
            <w:t>Ghana</w:t>
          </w:r>
        </w:smartTag>
      </w:smartTag>
      <w:r>
        <w:rPr>
          <w:rFonts w:ascii="Century Gothic" w:hAnsi="Century Gothic"/>
          <w:sz w:val="20"/>
          <w:szCs w:val="20"/>
        </w:rPr>
        <w:t xml:space="preserve"> has one of the highest deforestation rates in </w:t>
      </w:r>
      <w:smartTag w:uri="urn:schemas-microsoft-com:office:smarttags" w:element="place">
        <w:r>
          <w:rPr>
            <w:rFonts w:ascii="Century Gothic" w:hAnsi="Century Gothic"/>
            <w:sz w:val="20"/>
            <w:szCs w:val="20"/>
          </w:rPr>
          <w:t>Africa</w:t>
        </w:r>
      </w:smartTag>
      <w:r>
        <w:rPr>
          <w:rFonts w:ascii="Century Gothic" w:hAnsi="Century Gothic"/>
          <w:sz w:val="20"/>
          <w:szCs w:val="20"/>
        </w:rPr>
        <w:t>, if not the world, – about 2% pe</w:t>
      </w:r>
      <w:r w:rsidR="000308CD">
        <w:rPr>
          <w:rFonts w:ascii="Century Gothic" w:hAnsi="Century Gothic"/>
          <w:sz w:val="20"/>
          <w:szCs w:val="20"/>
        </w:rPr>
        <w:t>r annum.  It has lost about 85</w:t>
      </w:r>
      <w:r>
        <w:rPr>
          <w:rFonts w:ascii="Century Gothic" w:hAnsi="Century Gothic"/>
          <w:sz w:val="20"/>
          <w:szCs w:val="20"/>
        </w:rPr>
        <w:t>% of i</w:t>
      </w:r>
      <w:r w:rsidR="000308CD">
        <w:rPr>
          <w:rFonts w:ascii="Century Gothic" w:hAnsi="Century Gothic"/>
          <w:sz w:val="20"/>
          <w:szCs w:val="20"/>
        </w:rPr>
        <w:t>ts forest cover over the last 100</w:t>
      </w:r>
      <w:r>
        <w:rPr>
          <w:rFonts w:ascii="Century Gothic" w:hAnsi="Century Gothic"/>
          <w:sz w:val="20"/>
          <w:szCs w:val="20"/>
        </w:rPr>
        <w:t xml:space="preserve"> years </w:t>
      </w:r>
      <w:r w:rsidR="000308CD">
        <w:rPr>
          <w:rFonts w:ascii="Century Gothic" w:hAnsi="Century Gothic"/>
          <w:sz w:val="20"/>
          <w:szCs w:val="20"/>
        </w:rPr>
        <w:t xml:space="preserve">due </w:t>
      </w:r>
      <w:r>
        <w:rPr>
          <w:rFonts w:ascii="Century Gothic" w:hAnsi="Century Gothic"/>
          <w:sz w:val="20"/>
          <w:szCs w:val="20"/>
        </w:rPr>
        <w:t xml:space="preserve">to a combination of factors, including agricultural development and a range of market, policy and governance failures, including illegal logging. </w:t>
      </w:r>
      <w:r w:rsidR="000308C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Carbon finance has the potential to alter the economics of deforestation by giving value to standing forests, and providing an economic incentive for planted trees – it responds directly to market failure and provides a market-based incentive for better policies and governance. The demand relates to the realization that sustainable forestry is fundamental to climate change stabilization – especially the fact </w:t>
      </w:r>
      <w:r w:rsidR="00130FAF">
        <w:rPr>
          <w:rFonts w:ascii="Century Gothic" w:hAnsi="Century Gothic"/>
          <w:sz w:val="20"/>
          <w:szCs w:val="20"/>
        </w:rPr>
        <w:t>that deforestation contributes</w:t>
      </w:r>
      <w:r>
        <w:rPr>
          <w:rFonts w:ascii="Century Gothic" w:hAnsi="Century Gothic"/>
          <w:sz w:val="20"/>
          <w:szCs w:val="20"/>
        </w:rPr>
        <w:t xml:space="preserve"> about a fifth of global carbon emissions. </w:t>
      </w:r>
    </w:p>
    <w:p w:rsidR="009825A9" w:rsidRDefault="009825A9" w:rsidP="00760689">
      <w:pPr>
        <w:jc w:val="both"/>
        <w:rPr>
          <w:rFonts w:ascii="Century Gothic" w:hAnsi="Century Gothic"/>
          <w:sz w:val="20"/>
          <w:szCs w:val="20"/>
        </w:rPr>
      </w:pPr>
    </w:p>
    <w:p w:rsidR="009825A9" w:rsidRPr="00233AAE" w:rsidRDefault="009825A9" w:rsidP="00760689">
      <w:p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 xml:space="preserve">The global market for carbon credits provides a new and significant economic opportunity for </w:t>
      </w:r>
      <w:smartTag w:uri="urn:schemas-microsoft-com:office:smarttags" w:element="country-region">
        <w:smartTag w:uri="urn:schemas-microsoft-com:office:smarttags" w:element="place">
          <w:r w:rsidRPr="00233AAE">
            <w:rPr>
              <w:rFonts w:ascii="Century Gothic" w:hAnsi="Century Gothic"/>
              <w:sz w:val="20"/>
              <w:szCs w:val="20"/>
            </w:rPr>
            <w:t>Ghana</w:t>
          </w:r>
        </w:smartTag>
      </w:smartTag>
      <w:r w:rsidRPr="00233AAE">
        <w:rPr>
          <w:rFonts w:ascii="Century Gothic" w:hAnsi="Century Gothic"/>
          <w:sz w:val="20"/>
          <w:szCs w:val="20"/>
        </w:rPr>
        <w:t xml:space="preserve">, one that requires, in the case of forest-based carbon credits, new or modified land, forest and climate policy, new regulatory frameworks, and new fiscal policy. </w:t>
      </w:r>
      <w:smartTag w:uri="urn:schemas-microsoft-com:office:smarttags" w:element="country-region">
        <w:smartTag w:uri="urn:schemas-microsoft-com:office:smarttags" w:element="place">
          <w:r w:rsidRPr="00233AAE">
            <w:rPr>
              <w:rFonts w:ascii="Century Gothic" w:hAnsi="Century Gothic"/>
              <w:sz w:val="20"/>
              <w:szCs w:val="20"/>
            </w:rPr>
            <w:t>Ghana</w:t>
          </w:r>
        </w:smartTag>
      </w:smartTag>
      <w:r w:rsidRPr="00233AAE">
        <w:rPr>
          <w:rFonts w:ascii="Century Gothic" w:hAnsi="Century Gothic"/>
          <w:sz w:val="20"/>
          <w:szCs w:val="20"/>
        </w:rPr>
        <w:t xml:space="preserve"> has taken significant steps to prepare for entering carbon markets</w:t>
      </w:r>
      <w:r w:rsidR="00E57FF5">
        <w:rPr>
          <w:rFonts w:ascii="Century Gothic" w:hAnsi="Century Gothic"/>
          <w:sz w:val="20"/>
          <w:szCs w:val="20"/>
        </w:rPr>
        <w:t>,</w:t>
      </w:r>
      <w:r w:rsidRPr="00233AAE">
        <w:rPr>
          <w:rFonts w:ascii="Century Gothic" w:hAnsi="Century Gothic"/>
          <w:sz w:val="20"/>
          <w:szCs w:val="20"/>
        </w:rPr>
        <w:t xml:space="preserve"> but it is still early days and the fundamental structures for regulating production, trade and export of carbon credits are not in place.</w:t>
      </w:r>
    </w:p>
    <w:p w:rsidR="00131BEB" w:rsidRDefault="00131BEB" w:rsidP="00760689">
      <w:pPr>
        <w:jc w:val="both"/>
        <w:rPr>
          <w:rFonts w:ascii="Century Gothic" w:hAnsi="Century Gothic"/>
          <w:sz w:val="20"/>
          <w:szCs w:val="20"/>
        </w:rPr>
      </w:pPr>
    </w:p>
    <w:p w:rsidR="00131BEB" w:rsidRDefault="00E57FF5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Ghana’s carbon finance</w:t>
      </w:r>
      <w:r w:rsidR="00131BEB">
        <w:rPr>
          <w:rFonts w:ascii="Century Gothic" w:hAnsi="Century Gothic"/>
          <w:sz w:val="20"/>
          <w:szCs w:val="20"/>
        </w:rPr>
        <w:t xml:space="preserve"> potential has been recognized by the government</w:t>
      </w:r>
      <w:r w:rsidR="0092619F">
        <w:rPr>
          <w:rFonts w:ascii="Century Gothic" w:hAnsi="Century Gothic"/>
          <w:sz w:val="20"/>
          <w:szCs w:val="20"/>
        </w:rPr>
        <w:t xml:space="preserve"> and this evidenced by the country’s membership of the Coalition of Rainforest Countries that is working to ensure that “REDD (Reducing Em</w:t>
      </w:r>
      <w:r w:rsidR="002A2E7E">
        <w:rPr>
          <w:rFonts w:ascii="Century Gothic" w:hAnsi="Century Gothic"/>
          <w:sz w:val="20"/>
          <w:szCs w:val="20"/>
        </w:rPr>
        <w:t>issions from Deforestation and F</w:t>
      </w:r>
      <w:r w:rsidR="0092619F">
        <w:rPr>
          <w:rFonts w:ascii="Century Gothic" w:hAnsi="Century Gothic"/>
          <w:sz w:val="20"/>
          <w:szCs w:val="20"/>
        </w:rPr>
        <w:t>orest Degradation)” is included in the UNFCCC post-2012 framework</w:t>
      </w:r>
      <w:r w:rsidR="002A2E7E">
        <w:rPr>
          <w:rFonts w:ascii="Century Gothic" w:hAnsi="Century Gothic"/>
          <w:sz w:val="20"/>
          <w:szCs w:val="20"/>
        </w:rPr>
        <w:t>.  The World Bank</w:t>
      </w:r>
      <w:r w:rsidR="00131BEB">
        <w:rPr>
          <w:rFonts w:ascii="Century Gothic" w:hAnsi="Century Gothic"/>
          <w:sz w:val="20"/>
          <w:szCs w:val="20"/>
        </w:rPr>
        <w:t xml:space="preserve"> has included Ghana in the first </w:t>
      </w:r>
      <w:r w:rsidR="000308CD">
        <w:rPr>
          <w:rFonts w:ascii="Century Gothic" w:hAnsi="Century Gothic"/>
          <w:sz w:val="20"/>
          <w:szCs w:val="20"/>
        </w:rPr>
        <w:t>batch</w:t>
      </w:r>
      <w:r w:rsidR="00131BEB">
        <w:rPr>
          <w:rFonts w:ascii="Century Gothic" w:hAnsi="Century Gothic"/>
          <w:sz w:val="20"/>
          <w:szCs w:val="20"/>
        </w:rPr>
        <w:t xml:space="preserve"> of countries to receive support for “REDD (Reduced Em</w:t>
      </w:r>
      <w:r w:rsidR="002A2E7E">
        <w:rPr>
          <w:rFonts w:ascii="Century Gothic" w:hAnsi="Century Gothic"/>
          <w:sz w:val="20"/>
          <w:szCs w:val="20"/>
        </w:rPr>
        <w:t>issions from Deforestation and F</w:t>
      </w:r>
      <w:r w:rsidR="00131BEB">
        <w:rPr>
          <w:rFonts w:ascii="Century Gothic" w:hAnsi="Century Gothic"/>
          <w:sz w:val="20"/>
          <w:szCs w:val="20"/>
        </w:rPr>
        <w:t>orest Degradation) Readiness” under the World Bank Fore</w:t>
      </w:r>
      <w:r w:rsidR="002A2E7E">
        <w:rPr>
          <w:rFonts w:ascii="Century Gothic" w:hAnsi="Century Gothic"/>
          <w:sz w:val="20"/>
          <w:szCs w:val="20"/>
        </w:rPr>
        <w:t>st Carbon Partnership Facility.</w:t>
      </w:r>
    </w:p>
    <w:p w:rsidR="00131BEB" w:rsidRDefault="00131BEB" w:rsidP="00760689">
      <w:pPr>
        <w:jc w:val="both"/>
        <w:rPr>
          <w:rFonts w:ascii="Century Gothic" w:hAnsi="Century Gothic"/>
          <w:sz w:val="20"/>
          <w:szCs w:val="20"/>
        </w:rPr>
      </w:pPr>
    </w:p>
    <w:p w:rsidR="00131BEB" w:rsidRDefault="00131BEB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There is however a major bottleneck to</w:t>
      </w:r>
      <w:r w:rsidR="00E57FF5">
        <w:rPr>
          <w:rFonts w:ascii="Century Gothic" w:hAnsi="Century Gothic"/>
          <w:sz w:val="20"/>
          <w:szCs w:val="20"/>
        </w:rPr>
        <w:t xml:space="preserve"> making rapid</w:t>
      </w:r>
      <w:r>
        <w:rPr>
          <w:rFonts w:ascii="Century Gothic" w:hAnsi="Century Gothic"/>
          <w:sz w:val="20"/>
          <w:szCs w:val="20"/>
        </w:rPr>
        <w:t xml:space="preserve"> progress on the carbon finance agenda for Land Use, Land Use Change and Forestry (</w:t>
      </w:r>
      <w:r w:rsidR="001C55F9">
        <w:rPr>
          <w:rFonts w:ascii="Century Gothic" w:hAnsi="Century Gothic"/>
          <w:sz w:val="20"/>
          <w:szCs w:val="20"/>
        </w:rPr>
        <w:t>AFOLU</w:t>
      </w:r>
      <w:r>
        <w:rPr>
          <w:rFonts w:ascii="Century Gothic" w:hAnsi="Century Gothic"/>
          <w:sz w:val="20"/>
          <w:szCs w:val="20"/>
        </w:rPr>
        <w:t xml:space="preserve">), especially REDD.  This is the lack of understanding and capacity, especially at policy levels – therefore there is no clear carbon finance strategy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/>
              <w:sz w:val="20"/>
              <w:szCs w:val="20"/>
            </w:rPr>
            <w:t>Ghana</w:t>
          </w:r>
        </w:smartTag>
      </w:smartTag>
      <w:r>
        <w:rPr>
          <w:rFonts w:ascii="Century Gothic" w:hAnsi="Century Gothic"/>
          <w:sz w:val="20"/>
          <w:szCs w:val="20"/>
        </w:rPr>
        <w:t xml:space="preserve">.  </w:t>
      </w: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/>
              <w:sz w:val="20"/>
              <w:szCs w:val="20"/>
            </w:rPr>
            <w:t>Ghana</w:t>
          </w:r>
        </w:smartTag>
      </w:smartTag>
      <w:r w:rsidR="000308CD">
        <w:rPr>
          <w:rFonts w:ascii="Century Gothic" w:hAnsi="Century Gothic"/>
          <w:sz w:val="20"/>
          <w:szCs w:val="20"/>
        </w:rPr>
        <w:t xml:space="preserve"> has</w:t>
      </w:r>
      <w:r>
        <w:rPr>
          <w:rFonts w:ascii="Century Gothic" w:hAnsi="Century Gothic"/>
          <w:sz w:val="20"/>
          <w:szCs w:val="20"/>
        </w:rPr>
        <w:t xml:space="preserve"> limited experience with carbon finance (e.g., no established </w:t>
      </w:r>
      <w:r w:rsidR="001C55F9">
        <w:rPr>
          <w:rFonts w:ascii="Century Gothic" w:hAnsi="Century Gothic"/>
          <w:sz w:val="20"/>
          <w:szCs w:val="20"/>
        </w:rPr>
        <w:t>AFOLU</w:t>
      </w:r>
      <w:r>
        <w:rPr>
          <w:rFonts w:ascii="Century Gothic" w:hAnsi="Century Gothic"/>
          <w:sz w:val="20"/>
          <w:szCs w:val="20"/>
        </w:rPr>
        <w:t xml:space="preserve"> carbon finance projects), and there is therefore little experience to build on. </w:t>
      </w:r>
      <w:r w:rsidR="000308C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These factors also make it difficult for Ghana to present a coherent national position at the UNFCCC discussions, which will reach a </w:t>
      </w:r>
      <w:r>
        <w:rPr>
          <w:rFonts w:ascii="Century Gothic" w:hAnsi="Century Gothic"/>
          <w:sz w:val="20"/>
          <w:szCs w:val="20"/>
        </w:rPr>
        <w:lastRenderedPageBreak/>
        <w:t>climax at</w:t>
      </w:r>
      <w:r w:rsidR="00B326E9">
        <w:rPr>
          <w:rFonts w:ascii="Century Gothic" w:hAnsi="Century Gothic"/>
          <w:sz w:val="20"/>
          <w:szCs w:val="20"/>
        </w:rPr>
        <w:t xml:space="preserve"> the</w:t>
      </w:r>
      <w:r>
        <w:rPr>
          <w:rFonts w:ascii="Century Gothic" w:hAnsi="Century Gothic"/>
          <w:sz w:val="20"/>
          <w:szCs w:val="20"/>
        </w:rPr>
        <w:t xml:space="preserve"> Copenhagen meeting in December 2009 when the post-Kyo</w:t>
      </w:r>
      <w:r w:rsidR="000308CD">
        <w:rPr>
          <w:rFonts w:ascii="Century Gothic" w:hAnsi="Century Gothic"/>
          <w:sz w:val="20"/>
          <w:szCs w:val="20"/>
        </w:rPr>
        <w:t xml:space="preserve">to </w:t>
      </w:r>
      <w:r w:rsidR="004D7666">
        <w:rPr>
          <w:rFonts w:ascii="Century Gothic" w:hAnsi="Century Gothic"/>
          <w:sz w:val="20"/>
          <w:szCs w:val="20"/>
        </w:rPr>
        <w:t>r</w:t>
      </w:r>
      <w:r w:rsidR="000308CD">
        <w:rPr>
          <w:rFonts w:ascii="Century Gothic" w:hAnsi="Century Gothic"/>
          <w:sz w:val="20"/>
          <w:szCs w:val="20"/>
        </w:rPr>
        <w:t>egime, including</w:t>
      </w:r>
      <w:r>
        <w:rPr>
          <w:rFonts w:ascii="Century Gothic" w:hAnsi="Century Gothic"/>
          <w:sz w:val="20"/>
          <w:szCs w:val="20"/>
        </w:rPr>
        <w:t xml:space="preserve"> a REDD mechanism, will be negotiated. </w:t>
      </w:r>
      <w:r w:rsidR="000308C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There is therefore great urgency to move forward on the carbon finance agenda, initially over the next </w:t>
      </w:r>
      <w:r w:rsidR="00A7491C">
        <w:rPr>
          <w:rFonts w:ascii="Century Gothic" w:hAnsi="Century Gothic"/>
          <w:sz w:val="20"/>
          <w:szCs w:val="20"/>
        </w:rPr>
        <w:t xml:space="preserve">12-15 months, and then over the longer term given that the gestation period for carbon projects is normally about 18 months to two years. </w:t>
      </w:r>
    </w:p>
    <w:p w:rsidR="00B326E9" w:rsidRDefault="00B326E9" w:rsidP="00760689">
      <w:pPr>
        <w:jc w:val="both"/>
        <w:rPr>
          <w:rFonts w:ascii="Century Gothic" w:hAnsi="Century Gothic"/>
          <w:sz w:val="20"/>
          <w:szCs w:val="20"/>
        </w:rPr>
      </w:pPr>
    </w:p>
    <w:p w:rsidR="00B326E9" w:rsidRDefault="00B326E9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There is also a vital social and economic context around sus</w:t>
      </w:r>
      <w:r w:rsidR="00B65C1E">
        <w:rPr>
          <w:rFonts w:ascii="Century Gothic" w:hAnsi="Century Gothic"/>
          <w:sz w:val="20"/>
          <w:szCs w:val="20"/>
        </w:rPr>
        <w:t>tainable cocoa production. This</w:t>
      </w:r>
      <w:r>
        <w:rPr>
          <w:rFonts w:ascii="Century Gothic" w:hAnsi="Century Gothic"/>
          <w:sz w:val="20"/>
          <w:szCs w:val="20"/>
        </w:rPr>
        <w:t xml:space="preserve"> is the main livelihood basis for </w:t>
      </w:r>
      <w:r w:rsidR="004D7666">
        <w:rPr>
          <w:rFonts w:ascii="Century Gothic" w:hAnsi="Century Gothic"/>
          <w:sz w:val="20"/>
          <w:szCs w:val="20"/>
        </w:rPr>
        <w:t>approximately</w:t>
      </w:r>
      <w:r>
        <w:rPr>
          <w:rFonts w:ascii="Century Gothic" w:hAnsi="Century Gothic"/>
          <w:sz w:val="20"/>
          <w:szCs w:val="20"/>
        </w:rPr>
        <w:t xml:space="preserve"> 30% of the population</w:t>
      </w:r>
      <w:r w:rsidR="004D766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and Ghana’s </w:t>
      </w:r>
      <w:r w:rsidR="004D7666">
        <w:rPr>
          <w:rFonts w:ascii="Century Gothic" w:hAnsi="Century Gothic"/>
          <w:sz w:val="20"/>
          <w:szCs w:val="20"/>
        </w:rPr>
        <w:t>2</w:t>
      </w:r>
      <w:r w:rsidR="004D7666" w:rsidRPr="004D7666">
        <w:rPr>
          <w:rFonts w:ascii="Century Gothic" w:hAnsi="Century Gothic"/>
          <w:sz w:val="20"/>
          <w:szCs w:val="20"/>
          <w:vertAlign w:val="superscript"/>
        </w:rPr>
        <w:t>nd</w:t>
      </w:r>
      <w:r w:rsidR="004D7666">
        <w:rPr>
          <w:rFonts w:ascii="Century Gothic" w:hAnsi="Century Gothic"/>
          <w:sz w:val="20"/>
          <w:szCs w:val="20"/>
        </w:rPr>
        <w:t xml:space="preserve"> place export. </w:t>
      </w:r>
      <w:r w:rsidR="00B65C1E">
        <w:rPr>
          <w:rFonts w:ascii="Century Gothic" w:hAnsi="Century Gothic"/>
          <w:sz w:val="20"/>
          <w:szCs w:val="20"/>
        </w:rPr>
        <w:t xml:space="preserve"> A</w:t>
      </w:r>
      <w:r>
        <w:rPr>
          <w:rFonts w:ascii="Century Gothic" w:hAnsi="Century Gothic"/>
          <w:sz w:val="20"/>
          <w:szCs w:val="20"/>
        </w:rPr>
        <w:t>t the same time cocoa is</w:t>
      </w:r>
      <w:r w:rsidR="00B65C1E">
        <w:rPr>
          <w:rFonts w:ascii="Century Gothic" w:hAnsi="Century Gothic"/>
          <w:sz w:val="20"/>
          <w:szCs w:val="20"/>
        </w:rPr>
        <w:t xml:space="preserve"> </w:t>
      </w:r>
      <w:r w:rsidR="004D7666">
        <w:rPr>
          <w:rFonts w:ascii="Century Gothic" w:hAnsi="Century Gothic"/>
          <w:sz w:val="20"/>
          <w:szCs w:val="20"/>
        </w:rPr>
        <w:t>a</w:t>
      </w:r>
      <w:r w:rsidR="00B65C1E">
        <w:rPr>
          <w:rFonts w:ascii="Century Gothic" w:hAnsi="Century Gothic"/>
          <w:sz w:val="20"/>
          <w:szCs w:val="20"/>
        </w:rPr>
        <w:t xml:space="preserve"> </w:t>
      </w:r>
      <w:r w:rsidR="004D7666">
        <w:rPr>
          <w:rFonts w:ascii="Century Gothic" w:hAnsi="Century Gothic"/>
          <w:sz w:val="20"/>
          <w:szCs w:val="20"/>
        </w:rPr>
        <w:t>key</w:t>
      </w:r>
      <w:r w:rsidR="00B65C1E">
        <w:rPr>
          <w:rFonts w:ascii="Century Gothic" w:hAnsi="Century Gothic"/>
          <w:sz w:val="20"/>
          <w:szCs w:val="20"/>
        </w:rPr>
        <w:t xml:space="preserve"> driver of</w:t>
      </w:r>
      <w:r>
        <w:rPr>
          <w:rFonts w:ascii="Century Gothic" w:hAnsi="Century Gothic"/>
          <w:sz w:val="20"/>
          <w:szCs w:val="20"/>
        </w:rPr>
        <w:t xml:space="preserve"> encroachment of forest reserves.  Preliminary research by Reading University</w:t>
      </w:r>
      <w:r w:rsidR="00DE0175">
        <w:rPr>
          <w:rFonts w:ascii="Century Gothic" w:hAnsi="Century Gothic"/>
          <w:sz w:val="20"/>
          <w:szCs w:val="20"/>
        </w:rPr>
        <w:t xml:space="preserve"> </w:t>
      </w:r>
      <w:r w:rsidR="004D7666">
        <w:rPr>
          <w:rFonts w:ascii="Century Gothic" w:hAnsi="Century Gothic"/>
          <w:sz w:val="20"/>
          <w:szCs w:val="20"/>
        </w:rPr>
        <w:t>/</w:t>
      </w:r>
      <w:r w:rsidR="00DE0175">
        <w:rPr>
          <w:rFonts w:ascii="Century Gothic" w:hAnsi="Century Gothic"/>
          <w:sz w:val="20"/>
          <w:szCs w:val="20"/>
        </w:rPr>
        <w:t xml:space="preserve"> CRIG / </w:t>
      </w:r>
      <w:r w:rsidR="004D7666">
        <w:rPr>
          <w:rFonts w:ascii="Century Gothic" w:hAnsi="Century Gothic"/>
          <w:sz w:val="20"/>
          <w:szCs w:val="20"/>
        </w:rPr>
        <w:t>Earthwatch</w:t>
      </w:r>
      <w:r w:rsidR="00DE0175">
        <w:rPr>
          <w:rFonts w:ascii="Century Gothic" w:hAnsi="Century Gothic"/>
          <w:sz w:val="20"/>
          <w:szCs w:val="20"/>
        </w:rPr>
        <w:t xml:space="preserve"> </w:t>
      </w:r>
      <w:r w:rsidR="004D7666">
        <w:rPr>
          <w:rFonts w:ascii="Century Gothic" w:hAnsi="Century Gothic"/>
          <w:sz w:val="20"/>
          <w:szCs w:val="20"/>
        </w:rPr>
        <w:t>/</w:t>
      </w:r>
      <w:r w:rsidR="00DE0175">
        <w:rPr>
          <w:rFonts w:ascii="Century Gothic" w:hAnsi="Century Gothic"/>
          <w:sz w:val="20"/>
          <w:szCs w:val="20"/>
        </w:rPr>
        <w:t xml:space="preserve"> </w:t>
      </w:r>
      <w:r w:rsidR="004D7666">
        <w:rPr>
          <w:rFonts w:ascii="Century Gothic" w:hAnsi="Century Gothic"/>
          <w:sz w:val="20"/>
          <w:szCs w:val="20"/>
        </w:rPr>
        <w:t>NCRC</w:t>
      </w:r>
      <w:r>
        <w:rPr>
          <w:rFonts w:ascii="Century Gothic" w:hAnsi="Century Gothic"/>
          <w:sz w:val="20"/>
          <w:szCs w:val="20"/>
        </w:rPr>
        <w:t xml:space="preserve"> in a t</w:t>
      </w:r>
      <w:r w:rsidR="00B65C1E">
        <w:rPr>
          <w:rFonts w:ascii="Century Gothic" w:hAnsi="Century Gothic"/>
          <w:sz w:val="20"/>
          <w:szCs w:val="20"/>
        </w:rPr>
        <w:t xml:space="preserve">raditional cocoa growing area </w:t>
      </w:r>
      <w:r w:rsidR="00DE0175">
        <w:rPr>
          <w:rFonts w:ascii="Century Gothic" w:hAnsi="Century Gothic"/>
          <w:sz w:val="20"/>
          <w:szCs w:val="20"/>
        </w:rPr>
        <w:t>of the</w:t>
      </w:r>
      <w:r>
        <w:rPr>
          <w:rFonts w:ascii="Century Gothic" w:hAnsi="Century Gothic"/>
          <w:sz w:val="20"/>
          <w:szCs w:val="20"/>
        </w:rPr>
        <w:t xml:space="preserve"> Eastern Region has </w:t>
      </w:r>
      <w:r w:rsidR="00DE0175">
        <w:rPr>
          <w:rFonts w:ascii="Century Gothic" w:hAnsi="Century Gothic"/>
          <w:sz w:val="20"/>
          <w:szCs w:val="20"/>
        </w:rPr>
        <w:t>documented</w:t>
      </w:r>
      <w:r>
        <w:rPr>
          <w:rFonts w:ascii="Century Gothic" w:hAnsi="Century Gothic"/>
          <w:sz w:val="20"/>
          <w:szCs w:val="20"/>
        </w:rPr>
        <w:t xml:space="preserve"> that traditional shade-tree cocoa contains</w:t>
      </w:r>
      <w:r w:rsidR="00B65C1E">
        <w:rPr>
          <w:rFonts w:ascii="Century Gothic" w:hAnsi="Century Gothic"/>
          <w:sz w:val="20"/>
          <w:szCs w:val="20"/>
        </w:rPr>
        <w:t xml:space="preserve"> about two-</w:t>
      </w:r>
      <w:r>
        <w:rPr>
          <w:rFonts w:ascii="Century Gothic" w:hAnsi="Century Gothic"/>
          <w:sz w:val="20"/>
          <w:szCs w:val="20"/>
        </w:rPr>
        <w:t xml:space="preserve">thirds of the </w:t>
      </w:r>
      <w:r w:rsidR="00B65C1E">
        <w:rPr>
          <w:rFonts w:ascii="Century Gothic" w:hAnsi="Century Gothic"/>
          <w:sz w:val="20"/>
          <w:szCs w:val="20"/>
        </w:rPr>
        <w:t>carbon stored</w:t>
      </w:r>
      <w:r>
        <w:rPr>
          <w:rFonts w:ascii="Century Gothic" w:hAnsi="Century Gothic"/>
          <w:sz w:val="20"/>
          <w:szCs w:val="20"/>
        </w:rPr>
        <w:t xml:space="preserve"> in intact high forest, and about twice that found in intensive </w:t>
      </w:r>
      <w:r w:rsidR="00DE0175">
        <w:rPr>
          <w:rFonts w:ascii="Century Gothic" w:hAnsi="Century Gothic"/>
          <w:sz w:val="20"/>
          <w:szCs w:val="20"/>
        </w:rPr>
        <w:t xml:space="preserve">cocoa </w:t>
      </w:r>
      <w:r>
        <w:rPr>
          <w:rFonts w:ascii="Century Gothic" w:hAnsi="Century Gothic"/>
          <w:sz w:val="20"/>
          <w:szCs w:val="20"/>
        </w:rPr>
        <w:t>agriculture, includi</w:t>
      </w:r>
      <w:r w:rsidR="00B65C1E">
        <w:rPr>
          <w:rFonts w:ascii="Century Gothic" w:hAnsi="Century Gothic"/>
          <w:sz w:val="20"/>
          <w:szCs w:val="20"/>
        </w:rPr>
        <w:t>ng hybrid or non-shade cocoa systems</w:t>
      </w:r>
      <w:r>
        <w:rPr>
          <w:rFonts w:ascii="Century Gothic" w:hAnsi="Century Gothic"/>
          <w:sz w:val="20"/>
          <w:szCs w:val="20"/>
        </w:rPr>
        <w:t xml:space="preserve">. </w:t>
      </w:r>
      <w:r w:rsidR="002A550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Particularly in </w:t>
      </w:r>
      <w:r w:rsidR="00DE0175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Western Region, there is a rapidly advancing</w:t>
      </w:r>
      <w:r w:rsidR="00DE0175">
        <w:rPr>
          <w:rFonts w:ascii="Century Gothic" w:hAnsi="Century Gothic"/>
          <w:sz w:val="20"/>
          <w:szCs w:val="20"/>
        </w:rPr>
        <w:t xml:space="preserve"> full sun</w:t>
      </w:r>
      <w:r>
        <w:rPr>
          <w:rFonts w:ascii="Century Gothic" w:hAnsi="Century Gothic"/>
          <w:sz w:val="20"/>
          <w:szCs w:val="20"/>
        </w:rPr>
        <w:t xml:space="preserve"> hybrid cocoa frontier causing major</w:t>
      </w:r>
      <w:r w:rsidR="00B65C1E">
        <w:rPr>
          <w:rFonts w:ascii="Century Gothic" w:hAnsi="Century Gothic"/>
          <w:sz w:val="20"/>
          <w:szCs w:val="20"/>
        </w:rPr>
        <w:t xml:space="preserve"> carbon emissions</w:t>
      </w:r>
      <w:r>
        <w:rPr>
          <w:rFonts w:ascii="Century Gothic" w:hAnsi="Century Gothic"/>
          <w:sz w:val="20"/>
          <w:szCs w:val="20"/>
        </w:rPr>
        <w:t>.</w:t>
      </w:r>
      <w:r w:rsidR="00DE0175">
        <w:rPr>
          <w:rFonts w:ascii="Century Gothic" w:hAnsi="Century Gothic"/>
          <w:sz w:val="20"/>
          <w:szCs w:val="20"/>
        </w:rPr>
        <w:t xml:space="preserve"> </w:t>
      </w:r>
      <w:r w:rsidR="00B65C1E">
        <w:rPr>
          <w:rFonts w:ascii="Century Gothic" w:hAnsi="Century Gothic"/>
          <w:sz w:val="20"/>
          <w:szCs w:val="20"/>
        </w:rPr>
        <w:t xml:space="preserve"> In addition hybrid cocoa is unsustainable in th</w:t>
      </w:r>
      <w:r w:rsidR="00DE0175">
        <w:rPr>
          <w:rFonts w:ascii="Century Gothic" w:hAnsi="Century Gothic"/>
          <w:sz w:val="20"/>
          <w:szCs w:val="20"/>
        </w:rPr>
        <w:t>e longer term, unlike shaded</w:t>
      </w:r>
      <w:r w:rsidR="00B65C1E">
        <w:rPr>
          <w:rFonts w:ascii="Century Gothic" w:hAnsi="Century Gothic"/>
          <w:sz w:val="20"/>
          <w:szCs w:val="20"/>
        </w:rPr>
        <w:t xml:space="preserve"> cocoa.</w:t>
      </w:r>
      <w:r>
        <w:rPr>
          <w:rFonts w:ascii="Century Gothic" w:hAnsi="Century Gothic"/>
          <w:sz w:val="20"/>
          <w:szCs w:val="20"/>
        </w:rPr>
        <w:t xml:space="preserve"> </w:t>
      </w:r>
      <w:r w:rsidR="00DE017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This sets up a major</w:t>
      </w:r>
      <w:r w:rsidR="00B65C1E">
        <w:rPr>
          <w:rFonts w:ascii="Century Gothic" w:hAnsi="Century Gothic"/>
          <w:sz w:val="20"/>
          <w:szCs w:val="20"/>
        </w:rPr>
        <w:t xml:space="preserve"> social and economic potential for </w:t>
      </w:r>
      <w:r>
        <w:rPr>
          <w:rFonts w:ascii="Century Gothic" w:hAnsi="Century Gothic"/>
          <w:sz w:val="20"/>
          <w:szCs w:val="20"/>
        </w:rPr>
        <w:t>‘Cocoa Carbon’</w:t>
      </w:r>
      <w:r w:rsidR="00B65C1E">
        <w:rPr>
          <w:rFonts w:ascii="Century Gothic" w:hAnsi="Century Gothic"/>
          <w:sz w:val="20"/>
          <w:szCs w:val="20"/>
        </w:rPr>
        <w:t>,</w:t>
      </w:r>
      <w:r w:rsidR="005533BD">
        <w:rPr>
          <w:rFonts w:ascii="Century Gothic" w:hAnsi="Century Gothic"/>
          <w:sz w:val="20"/>
          <w:szCs w:val="20"/>
        </w:rPr>
        <w:t xml:space="preserve"> as well as its</w:t>
      </w:r>
      <w:r w:rsidR="00B65C1E">
        <w:rPr>
          <w:rFonts w:ascii="Century Gothic" w:hAnsi="Century Gothic"/>
          <w:sz w:val="20"/>
          <w:szCs w:val="20"/>
        </w:rPr>
        <w:t xml:space="preserve"> importance in gl</w:t>
      </w:r>
      <w:r w:rsidR="005533BD">
        <w:rPr>
          <w:rFonts w:ascii="Century Gothic" w:hAnsi="Century Gothic"/>
          <w:sz w:val="20"/>
          <w:szCs w:val="20"/>
        </w:rPr>
        <w:t>obal climate change mitigation</w:t>
      </w:r>
      <w:r w:rsidR="00B65C1E">
        <w:rPr>
          <w:rFonts w:ascii="Century Gothic" w:hAnsi="Century Gothic"/>
          <w:sz w:val="20"/>
          <w:szCs w:val="20"/>
        </w:rPr>
        <w:t xml:space="preserve">. </w:t>
      </w:r>
      <w:r w:rsidR="0049686C">
        <w:rPr>
          <w:rFonts w:ascii="Century Gothic" w:hAnsi="Century Gothic"/>
          <w:sz w:val="20"/>
          <w:szCs w:val="20"/>
        </w:rPr>
        <w:t xml:space="preserve"> There is an urgent need to explore</w:t>
      </w:r>
      <w:r w:rsidR="00B65C1E">
        <w:rPr>
          <w:rFonts w:ascii="Century Gothic" w:hAnsi="Century Gothic"/>
          <w:sz w:val="20"/>
          <w:szCs w:val="20"/>
        </w:rPr>
        <w:t xml:space="preserve"> </w:t>
      </w:r>
      <w:r w:rsidR="0049686C">
        <w:rPr>
          <w:rFonts w:ascii="Century Gothic" w:hAnsi="Century Gothic"/>
          <w:sz w:val="20"/>
          <w:szCs w:val="20"/>
        </w:rPr>
        <w:t>scenarios for</w:t>
      </w:r>
      <w:r w:rsidR="00B65C1E">
        <w:rPr>
          <w:rFonts w:ascii="Century Gothic" w:hAnsi="Century Gothic"/>
          <w:sz w:val="20"/>
          <w:szCs w:val="20"/>
        </w:rPr>
        <w:t xml:space="preserve"> REDD carbon payments </w:t>
      </w:r>
      <w:r w:rsidR="0049686C">
        <w:rPr>
          <w:rFonts w:ascii="Century Gothic" w:hAnsi="Century Gothic"/>
          <w:sz w:val="20"/>
          <w:szCs w:val="20"/>
        </w:rPr>
        <w:t>that may</w:t>
      </w:r>
      <w:r w:rsidR="00B65C1E">
        <w:rPr>
          <w:rFonts w:ascii="Century Gothic" w:hAnsi="Century Gothic"/>
          <w:sz w:val="20"/>
          <w:szCs w:val="20"/>
        </w:rPr>
        <w:t xml:space="preserve"> </w:t>
      </w:r>
      <w:r w:rsidR="001C55F9">
        <w:rPr>
          <w:rFonts w:ascii="Century Gothic" w:hAnsi="Century Gothic"/>
          <w:sz w:val="20"/>
          <w:szCs w:val="20"/>
        </w:rPr>
        <w:t>incentivize</w:t>
      </w:r>
      <w:r w:rsidR="00B65C1E">
        <w:rPr>
          <w:rFonts w:ascii="Century Gothic" w:hAnsi="Century Gothic"/>
          <w:sz w:val="20"/>
          <w:szCs w:val="20"/>
        </w:rPr>
        <w:t xml:space="preserve"> farmers to prefer shade-tree cocoa over hybrid cocoa or other low carbon storage land use options, and thus promote a sustainable land use system</w:t>
      </w:r>
      <w:r w:rsidR="005533BD">
        <w:rPr>
          <w:rFonts w:ascii="Century Gothic" w:hAnsi="Century Gothic"/>
          <w:sz w:val="20"/>
          <w:szCs w:val="20"/>
        </w:rPr>
        <w:t xml:space="preserve"> (ensuring the long-term supply of cocoa exports)</w:t>
      </w:r>
      <w:r w:rsidR="00B65C1E">
        <w:rPr>
          <w:rFonts w:ascii="Century Gothic" w:hAnsi="Century Gothic"/>
          <w:sz w:val="20"/>
          <w:szCs w:val="20"/>
        </w:rPr>
        <w:t xml:space="preserve"> with m</w:t>
      </w:r>
      <w:r w:rsidR="0049686C">
        <w:rPr>
          <w:rFonts w:ascii="Century Gothic" w:hAnsi="Century Gothic"/>
          <w:sz w:val="20"/>
          <w:szCs w:val="20"/>
        </w:rPr>
        <w:t>ajor poverty reduction benefits.</w:t>
      </w:r>
    </w:p>
    <w:p w:rsidR="00A7491C" w:rsidRDefault="00A7491C" w:rsidP="00760689">
      <w:pPr>
        <w:jc w:val="both"/>
        <w:rPr>
          <w:rFonts w:ascii="Century Gothic" w:hAnsi="Century Gothic"/>
          <w:sz w:val="20"/>
          <w:szCs w:val="20"/>
        </w:rPr>
      </w:pPr>
    </w:p>
    <w:p w:rsidR="00131BEB" w:rsidRDefault="00A7491C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Rapid progress is needed</w:t>
      </w:r>
      <w:r w:rsidR="00131BEB">
        <w:rPr>
          <w:rFonts w:ascii="Century Gothic" w:hAnsi="Century Gothic"/>
          <w:sz w:val="20"/>
          <w:szCs w:val="20"/>
        </w:rPr>
        <w:t xml:space="preserve"> on three main fronts:</w:t>
      </w:r>
    </w:p>
    <w:p w:rsidR="00131BEB" w:rsidRDefault="00A7491C" w:rsidP="00760689">
      <w:pPr>
        <w:numPr>
          <w:ilvl w:val="0"/>
          <w:numId w:val="3"/>
        </w:numPr>
        <w:spacing w:after="2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="00131BEB">
        <w:rPr>
          <w:rFonts w:ascii="Century Gothic" w:hAnsi="Century Gothic"/>
          <w:sz w:val="20"/>
          <w:szCs w:val="20"/>
        </w:rPr>
        <w:t>nderstanding and capacity</w:t>
      </w:r>
      <w:r>
        <w:rPr>
          <w:rFonts w:ascii="Century Gothic" w:hAnsi="Century Gothic"/>
          <w:sz w:val="20"/>
          <w:szCs w:val="20"/>
        </w:rPr>
        <w:t xml:space="preserve"> at the policy level, including for</w:t>
      </w:r>
      <w:r w:rsidR="00131BEB">
        <w:rPr>
          <w:rFonts w:ascii="Century Gothic" w:hAnsi="Century Gothic"/>
          <w:sz w:val="20"/>
          <w:szCs w:val="20"/>
        </w:rPr>
        <w:t xml:space="preserve"> the development of a facilitating policy, legal and </w:t>
      </w:r>
      <w:r>
        <w:rPr>
          <w:rFonts w:ascii="Century Gothic" w:hAnsi="Century Gothic"/>
          <w:sz w:val="20"/>
          <w:szCs w:val="20"/>
        </w:rPr>
        <w:t>institutional framework for carbon finance, especially REDD</w:t>
      </w:r>
      <w:r w:rsidR="000308CD">
        <w:rPr>
          <w:rFonts w:ascii="Century Gothic" w:hAnsi="Century Gothic"/>
          <w:sz w:val="20"/>
          <w:szCs w:val="20"/>
        </w:rPr>
        <w:t>.</w:t>
      </w:r>
    </w:p>
    <w:p w:rsidR="00131BEB" w:rsidRDefault="00A7491C" w:rsidP="00760689">
      <w:pPr>
        <w:numPr>
          <w:ilvl w:val="0"/>
          <w:numId w:val="3"/>
        </w:numPr>
        <w:spacing w:after="2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Technical </w:t>
      </w:r>
      <w:r w:rsidR="00131BEB">
        <w:rPr>
          <w:rFonts w:ascii="Century Gothic" w:hAnsi="Century Gothic"/>
          <w:sz w:val="20"/>
          <w:szCs w:val="20"/>
        </w:rPr>
        <w:t>capacity</w:t>
      </w:r>
      <w:r>
        <w:rPr>
          <w:rFonts w:ascii="Century Gothic" w:hAnsi="Century Gothic"/>
          <w:sz w:val="20"/>
          <w:szCs w:val="20"/>
        </w:rPr>
        <w:t xml:space="preserve"> building</w:t>
      </w:r>
      <w:r w:rsidR="00131BEB">
        <w:rPr>
          <w:rFonts w:ascii="Century Gothic" w:hAnsi="Century Gothic"/>
          <w:sz w:val="20"/>
          <w:szCs w:val="20"/>
        </w:rPr>
        <w:t>, including</w:t>
      </w:r>
      <w:r>
        <w:rPr>
          <w:rFonts w:ascii="Century Gothic" w:hAnsi="Century Gothic"/>
          <w:sz w:val="20"/>
          <w:szCs w:val="20"/>
        </w:rPr>
        <w:t xml:space="preserve"> for national and sub-national or project level</w:t>
      </w:r>
      <w:r w:rsidR="00131BEB">
        <w:rPr>
          <w:rFonts w:ascii="Century Gothic" w:hAnsi="Century Gothic"/>
          <w:sz w:val="20"/>
          <w:szCs w:val="20"/>
        </w:rPr>
        <w:t xml:space="preserve"> carbon ba</w:t>
      </w:r>
      <w:r>
        <w:rPr>
          <w:rFonts w:ascii="Century Gothic" w:hAnsi="Century Gothic"/>
          <w:sz w:val="20"/>
          <w:szCs w:val="20"/>
        </w:rPr>
        <w:t>selines, monitoring and</w:t>
      </w:r>
      <w:r w:rsidR="00131BEB">
        <w:rPr>
          <w:rFonts w:ascii="Century Gothic" w:hAnsi="Century Gothic"/>
          <w:sz w:val="20"/>
          <w:szCs w:val="20"/>
        </w:rPr>
        <w:t xml:space="preserve"> accounting</w:t>
      </w:r>
      <w:r>
        <w:rPr>
          <w:rFonts w:ascii="Century Gothic" w:hAnsi="Century Gothic"/>
          <w:sz w:val="20"/>
          <w:szCs w:val="20"/>
        </w:rPr>
        <w:t>.</w:t>
      </w:r>
    </w:p>
    <w:p w:rsidR="00131BEB" w:rsidRDefault="00A7491C" w:rsidP="00760689">
      <w:pPr>
        <w:numPr>
          <w:ilvl w:val="0"/>
          <w:numId w:val="3"/>
        </w:numPr>
        <w:spacing w:after="2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Design and implementation of pilot projects, especially </w:t>
      </w:r>
      <w:r w:rsidR="00131BEB">
        <w:rPr>
          <w:rFonts w:ascii="Century Gothic" w:hAnsi="Century Gothic"/>
          <w:sz w:val="20"/>
          <w:szCs w:val="20"/>
        </w:rPr>
        <w:t>REDD pilot or ‘demonstration activities’</w:t>
      </w:r>
      <w:r w:rsidR="005533BD">
        <w:rPr>
          <w:rFonts w:ascii="Century Gothic" w:hAnsi="Century Gothic"/>
          <w:sz w:val="20"/>
          <w:szCs w:val="20"/>
        </w:rPr>
        <w:t xml:space="preserve"> – these could include cocoa carbon, sus</w:t>
      </w:r>
      <w:r w:rsidR="00F62FAB">
        <w:rPr>
          <w:rFonts w:ascii="Century Gothic" w:hAnsi="Century Gothic"/>
          <w:sz w:val="20"/>
          <w:szCs w:val="20"/>
        </w:rPr>
        <w:t>tainable charcoal production,</w:t>
      </w:r>
      <w:r w:rsidR="005533BD">
        <w:rPr>
          <w:rFonts w:ascii="Century Gothic" w:hAnsi="Century Gothic"/>
          <w:sz w:val="20"/>
          <w:szCs w:val="20"/>
        </w:rPr>
        <w:t xml:space="preserve"> community conservation projects</w:t>
      </w:r>
      <w:r w:rsidR="00F62FAB">
        <w:rPr>
          <w:rFonts w:ascii="Century Gothic" w:hAnsi="Century Gothic"/>
          <w:sz w:val="20"/>
          <w:szCs w:val="20"/>
        </w:rPr>
        <w:t xml:space="preserve"> and forest reserves – especially those located in the savanna zone</w:t>
      </w:r>
      <w:r w:rsidR="00131BEB">
        <w:rPr>
          <w:rFonts w:ascii="Century Gothic" w:hAnsi="Century Gothic"/>
          <w:sz w:val="20"/>
          <w:szCs w:val="20"/>
        </w:rPr>
        <w:t xml:space="preserve">. </w:t>
      </w:r>
      <w:r w:rsidR="00F62FA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Projects are</w:t>
      </w:r>
      <w:r w:rsidR="005533BD">
        <w:rPr>
          <w:rFonts w:ascii="Century Gothic" w:hAnsi="Century Gothic"/>
          <w:sz w:val="20"/>
          <w:szCs w:val="20"/>
        </w:rPr>
        <w:t xml:space="preserve"> also</w:t>
      </w:r>
      <w:r>
        <w:rPr>
          <w:rFonts w:ascii="Century Gothic" w:hAnsi="Century Gothic"/>
          <w:sz w:val="20"/>
          <w:szCs w:val="20"/>
        </w:rPr>
        <w:t xml:space="preserve"> the most effective means of developing technical and policy level capacity, </w:t>
      </w:r>
      <w:r w:rsidR="00131BEB">
        <w:rPr>
          <w:rFonts w:ascii="Century Gothic" w:hAnsi="Century Gothic"/>
          <w:sz w:val="20"/>
          <w:szCs w:val="20"/>
        </w:rPr>
        <w:t>e.g.,</w:t>
      </w:r>
      <w:r>
        <w:rPr>
          <w:rFonts w:ascii="Century Gothic" w:hAnsi="Century Gothic"/>
          <w:sz w:val="20"/>
          <w:szCs w:val="20"/>
        </w:rPr>
        <w:t xml:space="preserve"> appropriate</w:t>
      </w:r>
      <w:r w:rsidR="00131BEB">
        <w:rPr>
          <w:rFonts w:ascii="Century Gothic" w:hAnsi="Century Gothic"/>
          <w:sz w:val="20"/>
          <w:szCs w:val="20"/>
        </w:rPr>
        <w:t xml:space="preserve"> instituti</w:t>
      </w:r>
      <w:r>
        <w:rPr>
          <w:rFonts w:ascii="Century Gothic" w:hAnsi="Century Gothic"/>
          <w:sz w:val="20"/>
          <w:szCs w:val="20"/>
        </w:rPr>
        <w:t>onal arrangements for carbon finance.</w:t>
      </w:r>
    </w:p>
    <w:p w:rsidR="00131BEB" w:rsidRDefault="00131BEB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</w:t>
      </w:r>
      <w:r w:rsidR="00132454">
        <w:rPr>
          <w:rFonts w:ascii="Century Gothic" w:hAnsi="Century Gothic"/>
          <w:sz w:val="20"/>
          <w:szCs w:val="20"/>
        </w:rPr>
        <w:t>process</w:t>
      </w:r>
      <w:r>
        <w:rPr>
          <w:rFonts w:ascii="Century Gothic" w:hAnsi="Century Gothic"/>
          <w:sz w:val="20"/>
          <w:szCs w:val="20"/>
        </w:rPr>
        <w:t xml:space="preserve"> is principally aimed at the first two components</w:t>
      </w:r>
      <w:r w:rsidR="00E86563">
        <w:rPr>
          <w:rFonts w:ascii="Century Gothic" w:hAnsi="Century Gothic"/>
          <w:sz w:val="20"/>
          <w:szCs w:val="20"/>
        </w:rPr>
        <w:t>; the third component is being promoted through parallel initiatives, includin</w:t>
      </w:r>
      <w:r w:rsidR="000308CD">
        <w:rPr>
          <w:rFonts w:ascii="Century Gothic" w:hAnsi="Century Gothic"/>
          <w:sz w:val="20"/>
          <w:szCs w:val="20"/>
        </w:rPr>
        <w:t>g development of a pilot ‘cocoa-</w:t>
      </w:r>
      <w:r w:rsidR="00E86563">
        <w:rPr>
          <w:rFonts w:ascii="Century Gothic" w:hAnsi="Century Gothic"/>
          <w:sz w:val="20"/>
          <w:szCs w:val="20"/>
        </w:rPr>
        <w:t>carbon’ project with the support of the Cadbury Partnership</w:t>
      </w:r>
      <w:r w:rsidR="005A4A08">
        <w:rPr>
          <w:rFonts w:ascii="Century Gothic" w:hAnsi="Century Gothic"/>
          <w:sz w:val="20"/>
          <w:szCs w:val="20"/>
        </w:rPr>
        <w:t xml:space="preserve"> and parallel initiatives of the Katoomba Group</w:t>
      </w:r>
      <w:r w:rsidR="005A4A08">
        <w:rPr>
          <w:rStyle w:val="FootnoteReference"/>
          <w:rFonts w:ascii="Century Gothic" w:hAnsi="Century Gothic"/>
          <w:sz w:val="20"/>
          <w:szCs w:val="20"/>
        </w:rPr>
        <w:footnoteReference w:id="2"/>
      </w:r>
      <w:r w:rsidR="00E86563">
        <w:rPr>
          <w:rFonts w:ascii="Century Gothic" w:hAnsi="Century Gothic"/>
          <w:sz w:val="20"/>
          <w:szCs w:val="20"/>
        </w:rPr>
        <w:t>.</w:t>
      </w:r>
    </w:p>
    <w:p w:rsidR="00BB23B7" w:rsidRDefault="00BB23B7" w:rsidP="00760689">
      <w:pPr>
        <w:jc w:val="both"/>
        <w:rPr>
          <w:rFonts w:ascii="Century Gothic" w:hAnsi="Century Gothic"/>
          <w:sz w:val="20"/>
          <w:szCs w:val="20"/>
        </w:rPr>
      </w:pPr>
    </w:p>
    <w:p w:rsidR="009825A9" w:rsidRPr="00BB23B7" w:rsidRDefault="00D716A8" w:rsidP="00760689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B23B7">
        <w:rPr>
          <w:rFonts w:ascii="Century Gothic" w:hAnsi="Century Gothic"/>
          <w:b/>
          <w:sz w:val="20"/>
          <w:szCs w:val="20"/>
          <w:u w:val="single"/>
        </w:rPr>
        <w:t>Key legal and policy challenges</w:t>
      </w:r>
    </w:p>
    <w:p w:rsidR="00233AAE" w:rsidRDefault="00D716A8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 carbon stakeholders (</w:t>
      </w:r>
      <w:r w:rsidR="00233AAE" w:rsidRPr="00233AAE">
        <w:rPr>
          <w:rFonts w:ascii="Century Gothic" w:hAnsi="Century Gothic"/>
          <w:sz w:val="20"/>
          <w:szCs w:val="20"/>
        </w:rPr>
        <w:t>landowner</w:t>
      </w:r>
      <w:r>
        <w:rPr>
          <w:rFonts w:ascii="Century Gothic" w:hAnsi="Century Gothic"/>
          <w:sz w:val="20"/>
          <w:szCs w:val="20"/>
        </w:rPr>
        <w:t xml:space="preserve">s, communities, </w:t>
      </w:r>
      <w:r w:rsidR="00233AAE" w:rsidRPr="00233AAE">
        <w:rPr>
          <w:rFonts w:ascii="Century Gothic" w:hAnsi="Century Gothic"/>
          <w:sz w:val="20"/>
          <w:szCs w:val="20"/>
        </w:rPr>
        <w:t>project developer</w:t>
      </w:r>
      <w:r>
        <w:rPr>
          <w:rFonts w:ascii="Century Gothic" w:hAnsi="Century Gothic"/>
          <w:sz w:val="20"/>
          <w:szCs w:val="20"/>
        </w:rPr>
        <w:t>s, investors and</w:t>
      </w:r>
      <w:r w:rsidR="00233AAE" w:rsidRPr="00233AAE">
        <w:rPr>
          <w:rFonts w:ascii="Century Gothic" w:hAnsi="Century Gothic"/>
          <w:sz w:val="20"/>
          <w:szCs w:val="20"/>
        </w:rPr>
        <w:t xml:space="preserve"> carbon credit buyers) need</w:t>
      </w:r>
      <w:r>
        <w:rPr>
          <w:rFonts w:ascii="Century Gothic" w:hAnsi="Century Gothic"/>
          <w:sz w:val="20"/>
          <w:szCs w:val="20"/>
        </w:rPr>
        <w:t xml:space="preserve"> clarity via</w:t>
      </w:r>
      <w:r w:rsidR="00233AAE" w:rsidRPr="00233AAE">
        <w:rPr>
          <w:rFonts w:ascii="Century Gothic" w:hAnsi="Century Gothic"/>
          <w:sz w:val="20"/>
          <w:szCs w:val="20"/>
        </w:rPr>
        <w:t xml:space="preserve"> specific, carbon-related national policies and regulations, with clear associated guidance, to underp</w:t>
      </w:r>
      <w:r>
        <w:rPr>
          <w:rFonts w:ascii="Century Gothic" w:hAnsi="Century Gothic"/>
          <w:sz w:val="20"/>
          <w:szCs w:val="20"/>
        </w:rPr>
        <w:t>in any investment in the generation of</w:t>
      </w:r>
      <w:r w:rsidR="00233AAE" w:rsidRPr="00233AAE">
        <w:rPr>
          <w:rFonts w:ascii="Century Gothic" w:hAnsi="Century Gothic"/>
          <w:sz w:val="20"/>
          <w:szCs w:val="20"/>
        </w:rPr>
        <w:t xml:space="preserve"> carbon credits. Relevant policy/regulation clarifications include:</w:t>
      </w:r>
    </w:p>
    <w:p w:rsidR="00233AAE" w:rsidRPr="00233AAE" w:rsidRDefault="00D716A8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ownership of trees grown in carbon financed</w:t>
      </w:r>
      <w:r w:rsidR="00233AAE" w:rsidRPr="00233AAE">
        <w:rPr>
          <w:rFonts w:ascii="Century Gothic" w:hAnsi="Century Gothic"/>
          <w:sz w:val="20"/>
          <w:szCs w:val="20"/>
        </w:rPr>
        <w:t xml:space="preserve"> plantations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all rights, such as timber r</w:t>
      </w:r>
      <w:r w:rsidR="00D716A8">
        <w:rPr>
          <w:rFonts w:ascii="Century Gothic" w:hAnsi="Century Gothic"/>
          <w:sz w:val="20"/>
          <w:szCs w:val="20"/>
        </w:rPr>
        <w:t>ights, over the trees, and</w:t>
      </w:r>
      <w:r w:rsidRPr="00233AAE">
        <w:rPr>
          <w:rFonts w:ascii="Century Gothic" w:hAnsi="Century Gothic"/>
          <w:sz w:val="20"/>
          <w:szCs w:val="20"/>
        </w:rPr>
        <w:t xml:space="preserve"> any restrictions on rights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lastRenderedPageBreak/>
        <w:t>ownership of carbon rig</w:t>
      </w:r>
      <w:r w:rsidR="00D716A8">
        <w:rPr>
          <w:rFonts w:ascii="Century Gothic" w:hAnsi="Century Gothic"/>
          <w:sz w:val="20"/>
          <w:szCs w:val="20"/>
        </w:rPr>
        <w:t>hts for planted trees on forest reserves</w:t>
      </w:r>
      <w:r w:rsidRPr="00233AAE">
        <w:rPr>
          <w:rFonts w:ascii="Century Gothic" w:hAnsi="Century Gothic"/>
          <w:sz w:val="20"/>
          <w:szCs w:val="20"/>
        </w:rPr>
        <w:t xml:space="preserve"> taking account of</w:t>
      </w:r>
      <w:r w:rsidR="00D716A8">
        <w:rPr>
          <w:rFonts w:ascii="Century Gothic" w:hAnsi="Century Gothic"/>
          <w:sz w:val="20"/>
          <w:szCs w:val="20"/>
        </w:rPr>
        <w:t xml:space="preserve"> </w:t>
      </w:r>
      <w:r w:rsidRPr="00233AAE">
        <w:rPr>
          <w:rFonts w:ascii="Century Gothic" w:hAnsi="Century Gothic"/>
          <w:sz w:val="20"/>
          <w:szCs w:val="20"/>
        </w:rPr>
        <w:t>duratio</w:t>
      </w:r>
      <w:r w:rsidR="00D716A8">
        <w:rPr>
          <w:rFonts w:ascii="Century Gothic" w:hAnsi="Century Gothic"/>
          <w:sz w:val="20"/>
          <w:szCs w:val="20"/>
        </w:rPr>
        <w:t>n of rights as conferred via</w:t>
      </w:r>
      <w:r w:rsidRPr="00233AAE">
        <w:rPr>
          <w:rFonts w:ascii="Century Gothic" w:hAnsi="Century Gothic"/>
          <w:sz w:val="20"/>
          <w:szCs w:val="20"/>
        </w:rPr>
        <w:t xml:space="preserve"> the 50 year plus 50 year lease arrangements currently in force for foreign investments in forest reserves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stat</w:t>
      </w:r>
      <w:r w:rsidR="00D716A8">
        <w:rPr>
          <w:rFonts w:ascii="Century Gothic" w:hAnsi="Century Gothic"/>
          <w:sz w:val="20"/>
          <w:szCs w:val="20"/>
        </w:rPr>
        <w:t>us of carbon rights</w:t>
      </w:r>
      <w:r w:rsidRPr="00233AAE">
        <w:rPr>
          <w:rFonts w:ascii="Century Gothic" w:hAnsi="Century Gothic"/>
          <w:sz w:val="20"/>
          <w:szCs w:val="20"/>
        </w:rPr>
        <w:t xml:space="preserve"> and whether these are fully transferable, separable and enforceable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treatment of carbon credits as exports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carbon trading regulations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 xml:space="preserve">treatment of financial transaction in carbon rights (for instance, does this fall under </w:t>
      </w:r>
      <w:r w:rsidR="00D716A8">
        <w:rPr>
          <w:rFonts w:ascii="Century Gothic" w:hAnsi="Century Gothic"/>
          <w:sz w:val="20"/>
          <w:szCs w:val="20"/>
        </w:rPr>
        <w:t>securities law?) and clarification of fiscal issues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po</w:t>
      </w:r>
      <w:r w:rsidR="00D716A8">
        <w:rPr>
          <w:rFonts w:ascii="Century Gothic" w:hAnsi="Century Gothic"/>
          <w:sz w:val="20"/>
          <w:szCs w:val="20"/>
        </w:rPr>
        <w:t>licy/regulation in</w:t>
      </w:r>
      <w:r w:rsidRPr="00233AAE">
        <w:rPr>
          <w:rFonts w:ascii="Century Gothic" w:hAnsi="Century Gothic"/>
          <w:sz w:val="20"/>
          <w:szCs w:val="20"/>
        </w:rPr>
        <w:t xml:space="preserve"> off-reserve areas</w:t>
      </w:r>
      <w:r w:rsidR="000308CD">
        <w:rPr>
          <w:rFonts w:ascii="Century Gothic" w:hAnsi="Century Gothic"/>
          <w:sz w:val="20"/>
          <w:szCs w:val="20"/>
        </w:rPr>
        <w:t>,</w:t>
      </w:r>
    </w:p>
    <w:p w:rsidR="00233AAE" w:rsidRPr="00233AAE" w:rsidRDefault="00233AAE" w:rsidP="00760689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33AAE">
        <w:rPr>
          <w:rFonts w:ascii="Century Gothic" w:hAnsi="Century Gothic"/>
          <w:sz w:val="20"/>
          <w:szCs w:val="20"/>
        </w:rPr>
        <w:t>fores</w:t>
      </w:r>
      <w:r w:rsidR="00D716A8">
        <w:rPr>
          <w:rFonts w:ascii="Century Gothic" w:hAnsi="Century Gothic"/>
          <w:sz w:val="20"/>
          <w:szCs w:val="20"/>
        </w:rPr>
        <w:t>t reserve land use (for example</w:t>
      </w:r>
      <w:r w:rsidRPr="00233AAE">
        <w:rPr>
          <w:rFonts w:ascii="Century Gothic" w:hAnsi="Century Gothic"/>
          <w:sz w:val="20"/>
          <w:szCs w:val="20"/>
        </w:rPr>
        <w:t xml:space="preserve">, multiple </w:t>
      </w:r>
      <w:r w:rsidR="00D716A8">
        <w:rPr>
          <w:rFonts w:ascii="Century Gothic" w:hAnsi="Century Gothic"/>
          <w:sz w:val="20"/>
          <w:szCs w:val="20"/>
        </w:rPr>
        <w:t>use of forest reserve land which is</w:t>
      </w:r>
      <w:r w:rsidRPr="00233AAE">
        <w:rPr>
          <w:rFonts w:ascii="Century Gothic" w:hAnsi="Century Gothic"/>
          <w:sz w:val="20"/>
          <w:szCs w:val="20"/>
        </w:rPr>
        <w:t xml:space="preserve"> severely degraded)</w:t>
      </w:r>
      <w:r w:rsidR="000308CD">
        <w:rPr>
          <w:rFonts w:ascii="Century Gothic" w:hAnsi="Century Gothic"/>
          <w:sz w:val="20"/>
          <w:szCs w:val="20"/>
        </w:rPr>
        <w:t>.</w:t>
      </w:r>
    </w:p>
    <w:p w:rsidR="00233AAE" w:rsidRPr="00233AAE" w:rsidRDefault="00233AAE" w:rsidP="00760689">
      <w:pPr>
        <w:jc w:val="both"/>
        <w:rPr>
          <w:rFonts w:ascii="Century Gothic" w:hAnsi="Century Gothic"/>
          <w:sz w:val="20"/>
          <w:szCs w:val="20"/>
        </w:rPr>
      </w:pPr>
    </w:p>
    <w:p w:rsidR="00233AAE" w:rsidRPr="00233AAE" w:rsidRDefault="00D716A8" w:rsidP="007606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Key</w:t>
      </w:r>
      <w:r w:rsidR="00233AAE" w:rsidRPr="00233AAE">
        <w:rPr>
          <w:rFonts w:ascii="Century Gothic" w:hAnsi="Century Gothic"/>
          <w:sz w:val="20"/>
          <w:szCs w:val="20"/>
        </w:rPr>
        <w:t xml:space="preserve"> cross-cutt</w:t>
      </w:r>
      <w:r>
        <w:rPr>
          <w:rFonts w:ascii="Century Gothic" w:hAnsi="Century Gothic"/>
          <w:sz w:val="20"/>
          <w:szCs w:val="20"/>
        </w:rPr>
        <w:t>ing issues include</w:t>
      </w:r>
      <w:r w:rsidR="00233AAE" w:rsidRPr="00233AAE">
        <w:rPr>
          <w:rFonts w:ascii="Century Gothic" w:hAnsi="Century Gothic"/>
          <w:sz w:val="20"/>
          <w:szCs w:val="20"/>
        </w:rPr>
        <w:t xml:space="preserve"> </w:t>
      </w:r>
      <w:r w:rsidR="00F62FAB">
        <w:rPr>
          <w:rFonts w:ascii="Century Gothic" w:hAnsi="Century Gothic"/>
          <w:sz w:val="20"/>
          <w:szCs w:val="20"/>
        </w:rPr>
        <w:t>poverty reduction</w:t>
      </w:r>
      <w:r w:rsidR="00233AAE" w:rsidRPr="00233AAE">
        <w:rPr>
          <w:rFonts w:ascii="Century Gothic" w:hAnsi="Century Gothic"/>
          <w:sz w:val="20"/>
          <w:szCs w:val="20"/>
        </w:rPr>
        <w:t>, biodiversity conservation, environmental/natural resource protection and governan</w:t>
      </w:r>
      <w:r>
        <w:rPr>
          <w:rFonts w:ascii="Century Gothic" w:hAnsi="Century Gothic"/>
          <w:sz w:val="20"/>
          <w:szCs w:val="20"/>
        </w:rPr>
        <w:t>ce.</w:t>
      </w:r>
    </w:p>
    <w:p w:rsidR="00E86563" w:rsidRPr="00D716A8" w:rsidRDefault="00E86563" w:rsidP="00760689">
      <w:pPr>
        <w:jc w:val="both"/>
        <w:rPr>
          <w:rFonts w:ascii="Century Gothic" w:hAnsi="Century Gothic"/>
          <w:sz w:val="20"/>
          <w:szCs w:val="20"/>
        </w:rPr>
      </w:pPr>
    </w:p>
    <w:p w:rsidR="00131BEB" w:rsidRPr="007C3A22" w:rsidRDefault="00BD32C0" w:rsidP="00760689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Process</w:t>
      </w:r>
      <w:r w:rsidR="00E86563" w:rsidRPr="007C3A22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facilitator</w:t>
      </w:r>
      <w:r w:rsidR="00CA29D3">
        <w:rPr>
          <w:rFonts w:ascii="Century Gothic" w:hAnsi="Century Gothic"/>
          <w:b/>
          <w:sz w:val="20"/>
          <w:szCs w:val="20"/>
          <w:u w:val="single"/>
        </w:rPr>
        <w:t>s</w:t>
      </w:r>
    </w:p>
    <w:p w:rsidR="00FD1D09" w:rsidRDefault="00FD1D09" w:rsidP="00760689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FD1D09">
        <w:rPr>
          <w:rFonts w:ascii="Century Gothic" w:hAnsi="Century Gothic" w:cs="Arial"/>
          <w:b/>
          <w:bCs/>
          <w:sz w:val="20"/>
          <w:szCs w:val="20"/>
        </w:rPr>
        <w:t>National Technical REDD Committee</w:t>
      </w:r>
      <w:r>
        <w:rPr>
          <w:rFonts w:ascii="Century Gothic" w:hAnsi="Century Gothic" w:cs="Arial"/>
          <w:bCs/>
          <w:sz w:val="20"/>
          <w:szCs w:val="20"/>
        </w:rPr>
        <w:t xml:space="preserve"> and the </w:t>
      </w:r>
      <w:r w:rsidRPr="00FD1D09">
        <w:rPr>
          <w:rFonts w:ascii="Century Gothic" w:hAnsi="Century Gothic" w:cs="Arial"/>
          <w:b/>
          <w:bCs/>
          <w:sz w:val="20"/>
          <w:szCs w:val="20"/>
        </w:rPr>
        <w:t>Climate Change Unit of Forestry Commission</w:t>
      </w:r>
      <w:r>
        <w:rPr>
          <w:rFonts w:ascii="Century Gothic" w:hAnsi="Century Gothic" w:cs="Arial"/>
          <w:bCs/>
          <w:sz w:val="20"/>
          <w:szCs w:val="20"/>
        </w:rPr>
        <w:t xml:space="preserve"> are the conveners and hosts of this series.  The National Technical REDD Committee was recently established and its secretariat is the Climate Change Unit in FC.</w:t>
      </w:r>
    </w:p>
    <w:p w:rsidR="00FD1D09" w:rsidRPr="00FD1D09" w:rsidRDefault="00FD1D09" w:rsidP="00760689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:rsidR="00131BEB" w:rsidRDefault="00131BEB" w:rsidP="00760689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E86563">
        <w:rPr>
          <w:rFonts w:ascii="Century Gothic" w:hAnsi="Century Gothic" w:cs="Arial"/>
          <w:b/>
          <w:bCs/>
          <w:sz w:val="20"/>
          <w:szCs w:val="20"/>
        </w:rPr>
        <w:t>Katoomba Group</w:t>
      </w:r>
      <w:r w:rsidRPr="00E86563">
        <w:rPr>
          <w:rFonts w:ascii="Century Gothic" w:hAnsi="Century Gothic" w:cs="Arial"/>
          <w:sz w:val="20"/>
          <w:szCs w:val="20"/>
        </w:rPr>
        <w:t xml:space="preserve">, a member of the </w:t>
      </w:r>
      <w:r w:rsidRPr="00D716A8">
        <w:rPr>
          <w:rFonts w:ascii="Century Gothic" w:hAnsi="Century Gothic" w:cs="Arial"/>
          <w:b/>
          <w:sz w:val="20"/>
          <w:szCs w:val="20"/>
        </w:rPr>
        <w:t>Forest Trends</w:t>
      </w:r>
      <w:r w:rsidRPr="00E86563">
        <w:rPr>
          <w:rFonts w:ascii="Century Gothic" w:hAnsi="Century Gothic" w:cs="Arial"/>
          <w:sz w:val="20"/>
          <w:szCs w:val="20"/>
        </w:rPr>
        <w:t xml:space="preserve"> family of initiatives, is a global network of practitioners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working to promote the use and improve capacity for developing ecosystem services payments.</w:t>
      </w:r>
      <w:r w:rsidR="000308CD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 xml:space="preserve"> It seeks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to achieve this goal through strategic partnerships for analysis, information-sharing, investment, market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 xml:space="preserve">services and policy advocacy. </w:t>
      </w:r>
      <w:r w:rsidR="000308CD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The Katoomba Group includes over 180 experts and practitioners representing a unique range of experience in business finance, policy, research and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advocacy.</w:t>
      </w:r>
      <w:r w:rsidR="000308CD">
        <w:rPr>
          <w:rFonts w:ascii="Century Gothic" w:hAnsi="Century Gothic" w:cs="Arial"/>
          <w:sz w:val="20"/>
          <w:szCs w:val="20"/>
        </w:rPr>
        <w:t xml:space="preserve">  It has held 11</w:t>
      </w:r>
      <w:r w:rsidRPr="00E86563">
        <w:rPr>
          <w:rFonts w:ascii="Century Gothic" w:hAnsi="Century Gothic" w:cs="Arial"/>
          <w:sz w:val="20"/>
          <w:szCs w:val="20"/>
        </w:rPr>
        <w:t xml:space="preserve"> major global conferences since 1999, publishe</w:t>
      </w:r>
      <w:r w:rsidR="005A4A08">
        <w:rPr>
          <w:rFonts w:ascii="Century Gothic" w:hAnsi="Century Gothic" w:cs="Arial"/>
          <w:sz w:val="20"/>
          <w:szCs w:val="20"/>
        </w:rPr>
        <w:t>d and contributed to many</w:t>
      </w:r>
      <w:r w:rsidR="005533BD">
        <w:rPr>
          <w:rFonts w:ascii="Century Gothic" w:hAnsi="Century Gothic" w:cs="Arial"/>
          <w:sz w:val="20"/>
          <w:szCs w:val="20"/>
        </w:rPr>
        <w:t xml:space="preserve"> payments for ecosystem services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="005533BD">
        <w:rPr>
          <w:rFonts w:ascii="Century Gothic" w:hAnsi="Century Gothic" w:cs="Arial"/>
          <w:sz w:val="20"/>
          <w:szCs w:val="20"/>
        </w:rPr>
        <w:t>(</w:t>
      </w:r>
      <w:r w:rsidR="005A4A08">
        <w:rPr>
          <w:rFonts w:ascii="Century Gothic" w:hAnsi="Century Gothic" w:cs="Arial"/>
          <w:sz w:val="20"/>
          <w:szCs w:val="20"/>
        </w:rPr>
        <w:t>PES</w:t>
      </w:r>
      <w:r w:rsidR="005533BD">
        <w:rPr>
          <w:rFonts w:ascii="Century Gothic" w:hAnsi="Century Gothic" w:cs="Arial"/>
          <w:sz w:val="20"/>
          <w:szCs w:val="20"/>
        </w:rPr>
        <w:t>)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publications, a</w:t>
      </w:r>
      <w:r w:rsidR="005A4A08">
        <w:rPr>
          <w:rFonts w:ascii="Century Gothic" w:hAnsi="Century Gothic" w:cs="Arial"/>
          <w:sz w:val="20"/>
          <w:szCs w:val="20"/>
        </w:rPr>
        <w:t xml:space="preserve">nd </w:t>
      </w:r>
      <w:r w:rsidR="005738D8">
        <w:rPr>
          <w:rFonts w:ascii="Century Gothic" w:hAnsi="Century Gothic" w:cs="Arial"/>
          <w:sz w:val="20"/>
          <w:szCs w:val="20"/>
        </w:rPr>
        <w:t>advised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="005533BD">
        <w:rPr>
          <w:rFonts w:ascii="Century Gothic" w:hAnsi="Century Gothic" w:cs="Arial"/>
          <w:sz w:val="20"/>
          <w:szCs w:val="20"/>
        </w:rPr>
        <w:t>various</w:t>
      </w:r>
      <w:r w:rsidR="005A4A0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PES schemes including the BioCarbon</w:t>
      </w:r>
      <w:r w:rsidR="00D716A8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Fund at the World Bank and the Mexican Payment for Hydrological Services Program.</w:t>
      </w:r>
      <w:r w:rsidR="000308CD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 xml:space="preserve"> The Katoomba</w:t>
      </w:r>
      <w:r w:rsidR="005A4A08">
        <w:rPr>
          <w:rFonts w:ascii="Century Gothic" w:hAnsi="Century Gothic" w:cs="Arial"/>
          <w:sz w:val="20"/>
          <w:szCs w:val="20"/>
        </w:rPr>
        <w:t xml:space="preserve"> Group has</w:t>
      </w:r>
      <w:r w:rsidR="005533BD">
        <w:rPr>
          <w:rFonts w:ascii="Century Gothic" w:hAnsi="Century Gothic" w:cs="Arial"/>
          <w:sz w:val="20"/>
          <w:szCs w:val="20"/>
        </w:rPr>
        <w:t xml:space="preserve"> also</w:t>
      </w:r>
      <w:r w:rsidRPr="00E86563">
        <w:rPr>
          <w:rFonts w:ascii="Century Gothic" w:hAnsi="Century Gothic" w:cs="Arial"/>
          <w:sz w:val="20"/>
          <w:szCs w:val="20"/>
        </w:rPr>
        <w:t xml:space="preserve"> advised national policy discussions on financial incenti</w:t>
      </w:r>
      <w:r w:rsidR="005A4A08">
        <w:rPr>
          <w:rFonts w:ascii="Century Gothic" w:hAnsi="Century Gothic" w:cs="Arial"/>
          <w:sz w:val="20"/>
          <w:szCs w:val="20"/>
        </w:rPr>
        <w:t>ves for conservation in</w:t>
      </w:r>
      <w:r w:rsidRPr="00E86563">
        <w:rPr>
          <w:rFonts w:ascii="Century Gothic" w:hAnsi="Century Gothic" w:cs="Arial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86563">
            <w:rPr>
              <w:rFonts w:ascii="Century Gothic" w:hAnsi="Century Gothic" w:cs="Arial"/>
              <w:sz w:val="20"/>
              <w:szCs w:val="20"/>
            </w:rPr>
            <w:t>China</w:t>
          </w:r>
        </w:smartTag>
      </w:smartTag>
      <w:r w:rsidRPr="00E86563">
        <w:rPr>
          <w:rFonts w:ascii="Century Gothic" w:hAnsi="Century Gothic" w:cs="Arial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86563">
            <w:rPr>
              <w:rFonts w:ascii="Century Gothic" w:hAnsi="Century Gothic" w:cs="Arial"/>
              <w:sz w:val="20"/>
              <w:szCs w:val="20"/>
            </w:rPr>
            <w:t>Brazil</w:t>
          </w:r>
        </w:smartTag>
      </w:smartTag>
      <w:r w:rsidRPr="00E86563">
        <w:rPr>
          <w:rFonts w:ascii="Century Gothic" w:hAnsi="Century Gothic" w:cs="Arial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86563">
            <w:rPr>
              <w:rFonts w:ascii="Century Gothic" w:hAnsi="Century Gothic" w:cs="Arial"/>
              <w:sz w:val="20"/>
              <w:szCs w:val="20"/>
            </w:rPr>
            <w:t>India</w:t>
          </w:r>
        </w:smartTag>
      </w:smartTag>
      <w:r w:rsidR="005A4A08">
        <w:rPr>
          <w:rFonts w:ascii="Century Gothic" w:hAnsi="Century Gothic" w:cs="Arial"/>
          <w:sz w:val="20"/>
          <w:szCs w:val="20"/>
        </w:rPr>
        <w:t>,</w:t>
      </w:r>
      <w:r w:rsidRPr="00E86563">
        <w:rPr>
          <w:rFonts w:ascii="Century Gothic" w:hAnsi="Century Gothic" w:cs="Arial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86563">
            <w:rPr>
              <w:rFonts w:ascii="Century Gothic" w:hAnsi="Century Gothic" w:cs="Arial"/>
              <w:sz w:val="20"/>
              <w:szCs w:val="20"/>
            </w:rPr>
            <w:t>Colombia</w:t>
          </w:r>
        </w:smartTag>
      </w:smartTag>
      <w:r w:rsidR="005A4A08">
        <w:rPr>
          <w:rFonts w:ascii="Century Gothic" w:hAnsi="Century Gothic" w:cs="Arial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5A4A08">
            <w:rPr>
              <w:rFonts w:ascii="Century Gothic" w:hAnsi="Century Gothic" w:cs="Arial"/>
              <w:sz w:val="20"/>
              <w:szCs w:val="20"/>
            </w:rPr>
            <w:t>Peru</w:t>
          </w:r>
        </w:smartTag>
      </w:smartTag>
      <w:r w:rsidR="005A4A08">
        <w:rPr>
          <w:rFonts w:ascii="Century Gothic" w:hAnsi="Century Gothic" w:cs="Arial"/>
          <w:sz w:val="20"/>
          <w:szCs w:val="20"/>
        </w:rPr>
        <w:t xml:space="preserve"> and other countries</w:t>
      </w:r>
      <w:r w:rsidRPr="00E86563">
        <w:rPr>
          <w:rFonts w:ascii="Century Gothic" w:hAnsi="Century Gothic" w:cs="Arial"/>
          <w:sz w:val="20"/>
          <w:szCs w:val="20"/>
        </w:rPr>
        <w:t>.</w:t>
      </w:r>
    </w:p>
    <w:p w:rsidR="000308CD" w:rsidRDefault="000308CD" w:rsidP="00760689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B34A44" w:rsidRPr="00E86563" w:rsidRDefault="00B34A44" w:rsidP="00760689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B34A44">
        <w:rPr>
          <w:rFonts w:ascii="Century Gothic" w:hAnsi="Century Gothic" w:cs="Arial"/>
          <w:bCs/>
          <w:sz w:val="20"/>
          <w:szCs w:val="20"/>
        </w:rPr>
        <w:t>Forest Trends</w:t>
      </w:r>
      <w:r w:rsidRPr="00E8656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has 10 years</w:t>
      </w:r>
      <w:r w:rsidRPr="00E86563">
        <w:rPr>
          <w:rFonts w:ascii="Century Gothic" w:hAnsi="Century Gothic" w:cs="Arial"/>
          <w:sz w:val="20"/>
          <w:szCs w:val="20"/>
        </w:rPr>
        <w:t xml:space="preserve"> experience promot</w:t>
      </w:r>
      <w:r w:rsidR="005533BD">
        <w:rPr>
          <w:rFonts w:ascii="Century Gothic" w:hAnsi="Century Gothic" w:cs="Arial"/>
          <w:sz w:val="20"/>
          <w:szCs w:val="20"/>
        </w:rPr>
        <w:t>ing</w:t>
      </w:r>
      <w:r w:rsidRPr="00E86563">
        <w:rPr>
          <w:rFonts w:ascii="Century Gothic" w:hAnsi="Century Gothic" w:cs="Arial"/>
          <w:sz w:val="20"/>
          <w:szCs w:val="20"/>
        </w:rPr>
        <w:t xml:space="preserve"> sustainable forest management and conservation. Forest Trends focuses its activities </w:t>
      </w:r>
      <w:r w:rsidR="005738D8">
        <w:rPr>
          <w:rFonts w:ascii="Century Gothic" w:hAnsi="Century Gothic" w:cs="Arial"/>
          <w:sz w:val="20"/>
          <w:szCs w:val="20"/>
        </w:rPr>
        <w:t>on the development and</w:t>
      </w:r>
      <w:r w:rsidRPr="00E86563">
        <w:rPr>
          <w:rFonts w:ascii="Century Gothic" w:hAnsi="Century Gothic" w:cs="Arial"/>
          <w:sz w:val="20"/>
          <w:szCs w:val="20"/>
        </w:rPr>
        <w:t xml:space="preserve"> </w:t>
      </w:r>
      <w:r w:rsidR="005738D8">
        <w:rPr>
          <w:rFonts w:ascii="Century Gothic" w:hAnsi="Century Gothic" w:cs="Arial"/>
          <w:sz w:val="20"/>
          <w:szCs w:val="20"/>
        </w:rPr>
        <w:t xml:space="preserve">expansion </w:t>
      </w:r>
      <w:r w:rsidRPr="00E86563">
        <w:rPr>
          <w:rFonts w:ascii="Century Gothic" w:hAnsi="Century Gothic" w:cs="Arial"/>
          <w:sz w:val="20"/>
          <w:szCs w:val="20"/>
        </w:rPr>
        <w:t>of</w:t>
      </w:r>
      <w:r w:rsidR="005738D8">
        <w:rPr>
          <w:rFonts w:ascii="Century Gothic" w:hAnsi="Century Gothic" w:cs="Arial"/>
          <w:sz w:val="20"/>
          <w:szCs w:val="20"/>
        </w:rPr>
        <w:t xml:space="preserve"> PES</w:t>
      </w:r>
      <w:r w:rsidRPr="00E86563">
        <w:rPr>
          <w:rFonts w:ascii="Century Gothic" w:hAnsi="Century Gothic" w:cs="Arial"/>
          <w:sz w:val="20"/>
          <w:szCs w:val="20"/>
        </w:rPr>
        <w:t xml:space="preserve"> markets and</w:t>
      </w:r>
      <w:r w:rsidR="005738D8">
        <w:rPr>
          <w:rFonts w:ascii="Century Gothic" w:hAnsi="Century Gothic" w:cs="Arial"/>
          <w:sz w:val="20"/>
          <w:szCs w:val="20"/>
        </w:rPr>
        <w:t xml:space="preserve"> other</w:t>
      </w:r>
      <w:r w:rsidRPr="00E86563">
        <w:rPr>
          <w:rFonts w:ascii="Century Gothic" w:hAnsi="Century Gothic" w:cs="Arial"/>
          <w:sz w:val="20"/>
          <w:szCs w:val="20"/>
        </w:rPr>
        <w:t xml:space="preserve"> investments </w:t>
      </w:r>
      <w:r w:rsidR="005738D8">
        <w:rPr>
          <w:rFonts w:ascii="Century Gothic" w:hAnsi="Century Gothic" w:cs="Arial"/>
          <w:sz w:val="20"/>
          <w:szCs w:val="20"/>
        </w:rPr>
        <w:t>for</w:t>
      </w:r>
      <w:r w:rsidRPr="00E86563">
        <w:rPr>
          <w:rFonts w:ascii="Century Gothic" w:hAnsi="Century Gothic" w:cs="Arial"/>
          <w:sz w:val="20"/>
          <w:szCs w:val="20"/>
        </w:rPr>
        <w:t xml:space="preserve"> forest conservation</w:t>
      </w:r>
      <w:r w:rsidR="005738D8">
        <w:rPr>
          <w:rFonts w:ascii="Century Gothic" w:hAnsi="Century Gothic" w:cs="Arial"/>
          <w:sz w:val="20"/>
          <w:szCs w:val="20"/>
        </w:rPr>
        <w:t xml:space="preserve"> and sustainable livelihoods for</w:t>
      </w:r>
      <w:r w:rsidRPr="00E86563">
        <w:rPr>
          <w:rFonts w:ascii="Century Gothic" w:hAnsi="Century Gothic" w:cs="Arial"/>
          <w:sz w:val="20"/>
          <w:szCs w:val="20"/>
        </w:rPr>
        <w:t xml:space="preserve"> forest communities. </w:t>
      </w:r>
      <w:r w:rsidR="000308CD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Forest Trends has</w:t>
      </w:r>
      <w:r w:rsidR="005738D8">
        <w:rPr>
          <w:rFonts w:ascii="Century Gothic" w:hAnsi="Century Gothic" w:cs="Arial"/>
          <w:sz w:val="20"/>
          <w:szCs w:val="20"/>
        </w:rPr>
        <w:t xml:space="preserve"> also</w:t>
      </w:r>
      <w:r w:rsidRPr="00E86563">
        <w:rPr>
          <w:rFonts w:ascii="Century Gothic" w:hAnsi="Century Gothic" w:cs="Arial"/>
          <w:sz w:val="20"/>
          <w:szCs w:val="20"/>
        </w:rPr>
        <w:t xml:space="preserve"> launched a set of pioneering</w:t>
      </w:r>
      <w:r w:rsidR="005738D8">
        <w:rPr>
          <w:rFonts w:ascii="Century Gothic" w:hAnsi="Century Gothic" w:cs="Arial"/>
          <w:sz w:val="20"/>
          <w:szCs w:val="20"/>
        </w:rPr>
        <w:t xml:space="preserve"> parallel</w:t>
      </w:r>
      <w:r w:rsidRPr="00E86563">
        <w:rPr>
          <w:rFonts w:ascii="Century Gothic" w:hAnsi="Century Gothic" w:cs="Arial"/>
          <w:sz w:val="20"/>
          <w:szCs w:val="20"/>
        </w:rPr>
        <w:t xml:space="preserve"> initiatives</w:t>
      </w:r>
      <w:r w:rsidR="005533BD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—</w:t>
      </w:r>
      <w:r w:rsidR="005533BD">
        <w:rPr>
          <w:rFonts w:ascii="Century Gothic" w:hAnsi="Century Gothic" w:cs="Arial"/>
          <w:sz w:val="20"/>
          <w:szCs w:val="20"/>
        </w:rPr>
        <w:t xml:space="preserve"> </w:t>
      </w:r>
      <w:r w:rsidR="00703470">
        <w:rPr>
          <w:rFonts w:ascii="Century Gothic" w:hAnsi="Century Gothic" w:cs="Arial"/>
          <w:sz w:val="20"/>
          <w:szCs w:val="20"/>
        </w:rPr>
        <w:t>including the Katoomba Group and others</w:t>
      </w:r>
      <w:r w:rsidR="005738D8">
        <w:rPr>
          <w:rFonts w:ascii="Century Gothic" w:hAnsi="Century Gothic" w:cs="Arial"/>
          <w:sz w:val="20"/>
          <w:szCs w:val="20"/>
        </w:rPr>
        <w:t>.</w:t>
      </w:r>
      <w:r w:rsidR="00500A36"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 xml:space="preserve"> The Forest Trends network is extensive and includes leaders from the forest industry,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E86563">
        <w:rPr>
          <w:rFonts w:ascii="Century Gothic" w:hAnsi="Century Gothic" w:cs="Arial"/>
          <w:sz w:val="20"/>
          <w:szCs w:val="20"/>
        </w:rPr>
        <w:t>environmental groups, finance, donors, and community conservation.</w:t>
      </w:r>
      <w:r w:rsidR="00FD1D09">
        <w:rPr>
          <w:rFonts w:ascii="Century Gothic" w:hAnsi="Century Gothic" w:cs="Arial"/>
          <w:sz w:val="20"/>
          <w:szCs w:val="20"/>
        </w:rPr>
        <w:t xml:space="preserve">  </w:t>
      </w:r>
      <w:r w:rsidR="00703470">
        <w:rPr>
          <w:rFonts w:ascii="Century Gothic" w:hAnsi="Century Gothic" w:cs="Arial"/>
          <w:sz w:val="20"/>
          <w:szCs w:val="20"/>
        </w:rPr>
        <w:t>Forest Trends and Katoomba work</w:t>
      </w:r>
      <w:r w:rsidR="00FD1D09">
        <w:rPr>
          <w:rFonts w:ascii="Century Gothic" w:hAnsi="Century Gothic" w:cs="Arial"/>
          <w:sz w:val="20"/>
          <w:szCs w:val="20"/>
        </w:rPr>
        <w:t xml:space="preserve"> closely wi</w:t>
      </w:r>
      <w:r w:rsidR="00703470">
        <w:rPr>
          <w:rFonts w:ascii="Century Gothic" w:hAnsi="Century Gothic" w:cs="Arial"/>
          <w:sz w:val="20"/>
          <w:szCs w:val="20"/>
        </w:rPr>
        <w:t>th its West Africa partner</w:t>
      </w:r>
      <w:r w:rsidR="00FD1D09">
        <w:rPr>
          <w:rFonts w:ascii="Century Gothic" w:hAnsi="Century Gothic" w:cs="Arial"/>
          <w:sz w:val="20"/>
          <w:szCs w:val="20"/>
        </w:rPr>
        <w:t xml:space="preserve"> – NCRC.</w:t>
      </w:r>
    </w:p>
    <w:p w:rsidR="000308CD" w:rsidRPr="00FE3B68" w:rsidRDefault="000308CD" w:rsidP="00760689">
      <w:pPr>
        <w:jc w:val="both"/>
        <w:rPr>
          <w:rFonts w:ascii="Century Gothic" w:hAnsi="Century Gothic"/>
          <w:b/>
          <w:sz w:val="20"/>
          <w:szCs w:val="20"/>
        </w:rPr>
      </w:pPr>
    </w:p>
    <w:p w:rsidR="00131BEB" w:rsidRPr="00BB23B7" w:rsidRDefault="00132454" w:rsidP="00760689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Round tables and Katoomba Meeting</w:t>
      </w:r>
    </w:p>
    <w:p w:rsidR="000720B7" w:rsidRDefault="005A4A08" w:rsidP="0070347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Organization of</w:t>
      </w:r>
      <w:r w:rsidR="00131BEB" w:rsidRPr="00044731">
        <w:rPr>
          <w:rFonts w:ascii="Century Gothic" w:hAnsi="Century Gothic"/>
          <w:sz w:val="20"/>
          <w:szCs w:val="20"/>
        </w:rPr>
        <w:t xml:space="preserve"> a</w:t>
      </w:r>
      <w:r w:rsidR="00131BEB">
        <w:rPr>
          <w:rFonts w:ascii="Century Gothic" w:hAnsi="Century Gothic"/>
          <w:sz w:val="20"/>
          <w:szCs w:val="20"/>
        </w:rPr>
        <w:t xml:space="preserve"> series of</w:t>
      </w:r>
      <w:r w:rsidR="00E9682F">
        <w:rPr>
          <w:rFonts w:ascii="Century Gothic" w:hAnsi="Century Gothic"/>
          <w:sz w:val="20"/>
          <w:szCs w:val="20"/>
        </w:rPr>
        <w:t xml:space="preserve"> high level policy and technical meetings on carbon finance ove</w:t>
      </w:r>
      <w:r w:rsidR="00571A5D">
        <w:rPr>
          <w:rFonts w:ascii="Century Gothic" w:hAnsi="Century Gothic"/>
          <w:sz w:val="20"/>
          <w:szCs w:val="20"/>
        </w:rPr>
        <w:t>r the next 15 months:</w:t>
      </w:r>
      <w:r w:rsidR="00E9682F">
        <w:rPr>
          <w:rFonts w:ascii="Century Gothic" w:hAnsi="Century Gothic"/>
          <w:sz w:val="20"/>
          <w:szCs w:val="20"/>
        </w:rPr>
        <w:t xml:space="preserve"> </w:t>
      </w:r>
      <w:r w:rsidR="00131BEB">
        <w:rPr>
          <w:rFonts w:ascii="Century Gothic" w:hAnsi="Century Gothic"/>
          <w:sz w:val="20"/>
          <w:szCs w:val="20"/>
        </w:rPr>
        <w:t>two 1.5 day roundtable events</w:t>
      </w:r>
      <w:r w:rsidR="00131BEB" w:rsidRPr="00044731">
        <w:rPr>
          <w:rFonts w:ascii="Century Gothic" w:hAnsi="Century Gothic"/>
          <w:sz w:val="20"/>
          <w:szCs w:val="20"/>
        </w:rPr>
        <w:t xml:space="preserve"> on</w:t>
      </w:r>
      <w:r w:rsidR="00571A5D">
        <w:rPr>
          <w:rFonts w:ascii="Century Gothic" w:hAnsi="Century Gothic"/>
          <w:sz w:val="20"/>
          <w:szCs w:val="20"/>
        </w:rPr>
        <w:t xml:space="preserve"> developing the</w:t>
      </w:r>
      <w:r w:rsidR="00E9682F">
        <w:rPr>
          <w:rFonts w:ascii="Century Gothic" w:hAnsi="Century Gothic"/>
          <w:sz w:val="20"/>
          <w:szCs w:val="20"/>
        </w:rPr>
        <w:t xml:space="preserve"> legal</w:t>
      </w:r>
      <w:r w:rsidR="00571A5D">
        <w:rPr>
          <w:rFonts w:ascii="Century Gothic" w:hAnsi="Century Gothic"/>
          <w:sz w:val="20"/>
          <w:szCs w:val="20"/>
        </w:rPr>
        <w:t>, policy and</w:t>
      </w:r>
      <w:r w:rsidR="00E9682F">
        <w:rPr>
          <w:rFonts w:ascii="Century Gothic" w:hAnsi="Century Gothic"/>
          <w:sz w:val="20"/>
          <w:szCs w:val="20"/>
        </w:rPr>
        <w:t xml:space="preserve"> institutional</w:t>
      </w:r>
      <w:r w:rsidR="00571A5D">
        <w:rPr>
          <w:rFonts w:ascii="Century Gothic" w:hAnsi="Century Gothic"/>
          <w:sz w:val="20"/>
          <w:szCs w:val="20"/>
        </w:rPr>
        <w:t xml:space="preserve"> framework for forest carbon finance, involving about</w:t>
      </w:r>
      <w:r w:rsidR="000308CD">
        <w:rPr>
          <w:rFonts w:ascii="Century Gothic" w:hAnsi="Century Gothic"/>
          <w:sz w:val="20"/>
          <w:szCs w:val="20"/>
        </w:rPr>
        <w:t xml:space="preserve"> 4</w:t>
      </w:r>
      <w:r w:rsidR="00131BEB" w:rsidRPr="00044731">
        <w:rPr>
          <w:rFonts w:ascii="Century Gothic" w:hAnsi="Century Gothic"/>
          <w:sz w:val="20"/>
          <w:szCs w:val="20"/>
        </w:rPr>
        <w:t>0 senior government an</w:t>
      </w:r>
      <w:r w:rsidR="00131BEB">
        <w:rPr>
          <w:rFonts w:ascii="Century Gothic" w:hAnsi="Century Gothic"/>
          <w:sz w:val="20"/>
          <w:szCs w:val="20"/>
        </w:rPr>
        <w:t>d civil society representatives</w:t>
      </w:r>
      <w:r w:rsidR="00571A5D">
        <w:rPr>
          <w:rFonts w:ascii="Century Gothic" w:hAnsi="Century Gothic"/>
          <w:sz w:val="20"/>
          <w:szCs w:val="20"/>
        </w:rPr>
        <w:t>,</w:t>
      </w:r>
      <w:r w:rsidR="00131BEB">
        <w:rPr>
          <w:rFonts w:ascii="Century Gothic" w:hAnsi="Century Gothic"/>
          <w:sz w:val="20"/>
          <w:szCs w:val="20"/>
        </w:rPr>
        <w:t xml:space="preserve"> </w:t>
      </w:r>
      <w:r w:rsidR="00571A5D">
        <w:rPr>
          <w:rFonts w:ascii="Century Gothic" w:hAnsi="Century Gothic"/>
          <w:sz w:val="20"/>
          <w:szCs w:val="20"/>
        </w:rPr>
        <w:t>feeding into a major Katoomba Group Conference on carbon finance, with a special focus on tree crops, to be held</w:t>
      </w:r>
      <w:r w:rsidR="00131BEB">
        <w:rPr>
          <w:rFonts w:ascii="Century Gothic" w:hAnsi="Century Gothic"/>
          <w:sz w:val="20"/>
          <w:szCs w:val="20"/>
        </w:rPr>
        <w:t xml:space="preserve"> in Accra in </w:t>
      </w:r>
      <w:r w:rsidR="00C15EAB">
        <w:rPr>
          <w:rFonts w:ascii="Century Gothic" w:hAnsi="Century Gothic"/>
          <w:sz w:val="20"/>
          <w:szCs w:val="20"/>
        </w:rPr>
        <w:t>November</w:t>
      </w:r>
      <w:r w:rsidR="00131BEB">
        <w:rPr>
          <w:rFonts w:ascii="Century Gothic" w:hAnsi="Century Gothic"/>
          <w:sz w:val="20"/>
          <w:szCs w:val="20"/>
        </w:rPr>
        <w:t xml:space="preserve"> 2009.</w:t>
      </w:r>
      <w:r w:rsidR="00571A5D">
        <w:rPr>
          <w:rFonts w:ascii="Century Gothic" w:hAnsi="Century Gothic"/>
          <w:sz w:val="20"/>
          <w:szCs w:val="20"/>
        </w:rPr>
        <w:t xml:space="preserve"> </w:t>
      </w:r>
      <w:r w:rsidR="000308CD">
        <w:rPr>
          <w:rFonts w:ascii="Century Gothic" w:hAnsi="Century Gothic"/>
          <w:sz w:val="20"/>
          <w:szCs w:val="20"/>
        </w:rPr>
        <w:t xml:space="preserve"> </w:t>
      </w:r>
      <w:r w:rsidR="00571A5D">
        <w:rPr>
          <w:rFonts w:ascii="Century Gothic" w:hAnsi="Century Gothic"/>
          <w:sz w:val="20"/>
          <w:szCs w:val="20"/>
        </w:rPr>
        <w:t xml:space="preserve">Support will also be given to </w:t>
      </w:r>
      <w:r w:rsidR="00B34A44">
        <w:rPr>
          <w:rFonts w:ascii="Century Gothic" w:hAnsi="Century Gothic"/>
          <w:sz w:val="20"/>
          <w:szCs w:val="20"/>
        </w:rPr>
        <w:t>an</w:t>
      </w:r>
      <w:r w:rsidR="00E96BF7">
        <w:rPr>
          <w:rFonts w:ascii="Century Gothic" w:hAnsi="Century Gothic"/>
          <w:sz w:val="20"/>
          <w:szCs w:val="20"/>
        </w:rPr>
        <w:t xml:space="preserve"> in-country</w:t>
      </w:r>
      <w:r w:rsidR="00131BEB">
        <w:rPr>
          <w:rFonts w:ascii="Century Gothic" w:hAnsi="Century Gothic"/>
          <w:sz w:val="20"/>
          <w:szCs w:val="20"/>
        </w:rPr>
        <w:t xml:space="preserve"> technical wo</w:t>
      </w:r>
      <w:r w:rsidR="00571A5D">
        <w:rPr>
          <w:rFonts w:ascii="Century Gothic" w:hAnsi="Century Gothic"/>
          <w:sz w:val="20"/>
          <w:szCs w:val="20"/>
        </w:rPr>
        <w:t>rking group</w:t>
      </w:r>
      <w:r w:rsidR="00B34A44">
        <w:rPr>
          <w:rFonts w:ascii="Century Gothic" w:hAnsi="Century Gothic"/>
          <w:sz w:val="20"/>
          <w:szCs w:val="20"/>
        </w:rPr>
        <w:t xml:space="preserve"> with two sub-committees:</w:t>
      </w:r>
      <w:r w:rsidR="00E96BF7">
        <w:rPr>
          <w:rFonts w:ascii="Century Gothic" w:hAnsi="Century Gothic"/>
          <w:sz w:val="20"/>
          <w:szCs w:val="20"/>
        </w:rPr>
        <w:t xml:space="preserve"> one</w:t>
      </w:r>
      <w:r w:rsidR="00571A5D">
        <w:rPr>
          <w:rFonts w:ascii="Century Gothic" w:hAnsi="Century Gothic"/>
          <w:sz w:val="20"/>
          <w:szCs w:val="20"/>
        </w:rPr>
        <w:t xml:space="preserve"> to develop the</w:t>
      </w:r>
      <w:r w:rsidR="00E96BF7">
        <w:rPr>
          <w:rFonts w:ascii="Century Gothic" w:hAnsi="Century Gothic"/>
          <w:sz w:val="20"/>
          <w:szCs w:val="20"/>
        </w:rPr>
        <w:t xml:space="preserve"> legal/property rights</w:t>
      </w:r>
      <w:r w:rsidR="00571A5D">
        <w:rPr>
          <w:rFonts w:ascii="Century Gothic" w:hAnsi="Century Gothic"/>
          <w:sz w:val="20"/>
          <w:szCs w:val="20"/>
        </w:rPr>
        <w:t xml:space="preserve"> framework for carbon finance</w:t>
      </w:r>
      <w:r w:rsidR="00E96BF7">
        <w:rPr>
          <w:rFonts w:ascii="Century Gothic" w:hAnsi="Century Gothic"/>
          <w:sz w:val="20"/>
          <w:szCs w:val="20"/>
        </w:rPr>
        <w:t>, and a second to assess the wider policy and i</w:t>
      </w:r>
      <w:r w:rsidR="00B34A44">
        <w:rPr>
          <w:rFonts w:ascii="Century Gothic" w:hAnsi="Century Gothic"/>
          <w:sz w:val="20"/>
          <w:szCs w:val="20"/>
        </w:rPr>
        <w:t>nstitutional framework for PES. The Technical Working Group will</w:t>
      </w:r>
      <w:r w:rsidR="00E96BF7">
        <w:rPr>
          <w:rFonts w:ascii="Century Gothic" w:hAnsi="Century Gothic"/>
          <w:sz w:val="20"/>
          <w:szCs w:val="20"/>
        </w:rPr>
        <w:t xml:space="preserve"> be set up at the first roundtable event scheduled for late November 2008</w:t>
      </w:r>
      <w:r w:rsidR="00131BEB">
        <w:rPr>
          <w:rFonts w:ascii="Century Gothic" w:hAnsi="Century Gothic"/>
          <w:sz w:val="20"/>
          <w:szCs w:val="20"/>
        </w:rPr>
        <w:t>.</w:t>
      </w:r>
    </w:p>
    <w:p w:rsidR="00334D73" w:rsidRDefault="00334D7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334D73" w:rsidRDefault="00334D73" w:rsidP="00334D73">
      <w:pPr>
        <w:jc w:val="both"/>
        <w:rPr>
          <w:rFonts w:ascii="Century Gothic" w:hAnsi="Century Gothic"/>
          <w:sz w:val="20"/>
          <w:szCs w:val="20"/>
        </w:rPr>
      </w:pPr>
    </w:p>
    <w:p w:rsidR="00334D73" w:rsidRPr="00BD32C0" w:rsidRDefault="00334D73" w:rsidP="00334D73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D32C0">
        <w:rPr>
          <w:rFonts w:ascii="Century Gothic" w:hAnsi="Century Gothic"/>
          <w:b/>
          <w:sz w:val="20"/>
          <w:szCs w:val="20"/>
          <w:u w:val="single"/>
        </w:rPr>
        <w:t>Invitation list</w:t>
      </w:r>
    </w:p>
    <w:p w:rsidR="00334D73" w:rsidRDefault="00334D73" w:rsidP="00334D73">
      <w:pPr>
        <w:jc w:val="both"/>
        <w:rPr>
          <w:rFonts w:ascii="Century Gothic" w:hAnsi="Century Gothic"/>
          <w:sz w:val="20"/>
          <w:szCs w:val="20"/>
        </w:rPr>
      </w:pPr>
    </w:p>
    <w:p w:rsidR="00334D73" w:rsidRPr="00044731" w:rsidRDefault="00334D73" w:rsidP="00334D7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Pr="00044731">
        <w:rPr>
          <w:rFonts w:ascii="Century Gothic" w:hAnsi="Century Gothic"/>
          <w:sz w:val="20"/>
          <w:szCs w:val="20"/>
        </w:rPr>
        <w:t xml:space="preserve"> list include</w:t>
      </w:r>
      <w:r>
        <w:rPr>
          <w:rFonts w:ascii="Century Gothic" w:hAnsi="Century Gothic"/>
          <w:sz w:val="20"/>
          <w:szCs w:val="20"/>
        </w:rPr>
        <w:t>s</w:t>
      </w:r>
      <w:r w:rsidRPr="00044731">
        <w:rPr>
          <w:rFonts w:ascii="Century Gothic" w:hAnsi="Century Gothic"/>
          <w:sz w:val="20"/>
          <w:szCs w:val="20"/>
        </w:rPr>
        <w:t xml:space="preserve"> representatives of:</w:t>
      </w:r>
    </w:p>
    <w:p w:rsidR="00334D73" w:rsidRPr="00044731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inistry </w:t>
      </w:r>
      <w:r w:rsidRPr="00044731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 xml:space="preserve">f </w:t>
      </w:r>
      <w:r w:rsidRPr="00044731">
        <w:rPr>
          <w:rFonts w:ascii="Century Gothic" w:hAnsi="Century Gothic"/>
          <w:sz w:val="20"/>
          <w:szCs w:val="20"/>
        </w:rPr>
        <w:t>F</w:t>
      </w:r>
      <w:r>
        <w:rPr>
          <w:rFonts w:ascii="Century Gothic" w:hAnsi="Century Gothic"/>
          <w:sz w:val="20"/>
          <w:szCs w:val="20"/>
        </w:rPr>
        <w:t xml:space="preserve">inance &amp; </w:t>
      </w:r>
      <w:r w:rsidRPr="00044731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conomic </w:t>
      </w:r>
      <w:r w:rsidRPr="00044731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lanning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inistry of </w:t>
      </w:r>
      <w:r w:rsidRPr="00044731">
        <w:rPr>
          <w:rFonts w:ascii="Century Gothic" w:hAnsi="Century Gothic"/>
          <w:sz w:val="20"/>
          <w:szCs w:val="20"/>
        </w:rPr>
        <w:t>F</w:t>
      </w:r>
      <w:r>
        <w:rPr>
          <w:rFonts w:ascii="Century Gothic" w:hAnsi="Century Gothic"/>
          <w:sz w:val="20"/>
          <w:szCs w:val="20"/>
        </w:rPr>
        <w:t xml:space="preserve">ood &amp; </w:t>
      </w:r>
      <w:r w:rsidRPr="00044731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griculture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Ministry of Land, Forestry and Mines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2828DE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Ghana Cocoa Board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 reps</w:t>
      </w:r>
    </w:p>
    <w:p w:rsidR="00334D73" w:rsidRPr="00044731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nvironmental </w:t>
      </w:r>
      <w:r w:rsidRPr="00044731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 xml:space="preserve">rotection </w:t>
      </w:r>
      <w:r w:rsidRPr="00044731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gency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044731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F</w:t>
      </w:r>
      <w:r>
        <w:rPr>
          <w:rFonts w:ascii="Century Gothic" w:hAnsi="Century Gothic"/>
          <w:sz w:val="20"/>
          <w:szCs w:val="20"/>
        </w:rPr>
        <w:t xml:space="preserve">orestry </w:t>
      </w:r>
      <w:r w:rsidRPr="00044731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>ommission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3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Cocoa Research Institute of Ghana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Cadbury International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Cadbury Cocoa Partnership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B52D48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B52D48">
        <w:rPr>
          <w:rFonts w:ascii="Century Gothic" w:hAnsi="Century Gothic"/>
          <w:sz w:val="20"/>
          <w:szCs w:val="20"/>
        </w:rPr>
        <w:t>Cargill International</w:t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  <w:t>1 rep</w:t>
      </w:r>
    </w:p>
    <w:p w:rsidR="00334D73" w:rsidRPr="00B52D48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B52D48">
        <w:rPr>
          <w:rFonts w:ascii="Century Gothic" w:hAnsi="Century Gothic"/>
          <w:sz w:val="20"/>
          <w:szCs w:val="20"/>
        </w:rPr>
        <w:t>Barry Caullebaut</w:t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  <w:t>1 rep</w:t>
      </w:r>
    </w:p>
    <w:p w:rsidR="00334D73" w:rsidRPr="00B52D48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 w:rsidRPr="00B52D48">
        <w:rPr>
          <w:rFonts w:ascii="Century Gothic" w:hAnsi="Century Gothic"/>
          <w:sz w:val="20"/>
          <w:szCs w:val="20"/>
        </w:rPr>
        <w:t>Wienco Ghana</w:t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</w:r>
      <w:r w:rsidRPr="00B52D48"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IUCN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Forest Watch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CARE International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World Vision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1625E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VSO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STCP Ghana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National House of Chiefs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Media houses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4 reps</w:t>
      </w:r>
    </w:p>
    <w:p w:rsidR="00334D73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Coalition of Rainforest Nations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192851" w:rsidRDefault="00334D73" w:rsidP="00334D7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Smartwood – Rainforest Alliance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044731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British High Commission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UNDP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044731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USAID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Royal Netherlands Embassy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Royal Danish Embassy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Pr="00044731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Government of Norway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044731">
        <w:rPr>
          <w:rFonts w:ascii="Century Gothic" w:hAnsi="Century Gothic"/>
          <w:sz w:val="20"/>
          <w:szCs w:val="20"/>
        </w:rPr>
        <w:t>CIDA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World Bank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1 rep</w:t>
      </w:r>
    </w:p>
    <w:p w:rsidR="00334D73" w:rsidRDefault="00334D73" w:rsidP="00334D73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European Union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1625E3">
        <w:rPr>
          <w:rFonts w:ascii="Century Gothic" w:hAnsi="Century Gothic"/>
          <w:sz w:val="20"/>
          <w:szCs w:val="20"/>
          <w:u w:val="single"/>
        </w:rPr>
        <w:t>1 rep</w:t>
      </w:r>
    </w:p>
    <w:p w:rsidR="00334D73" w:rsidRPr="00044731" w:rsidRDefault="00334D73" w:rsidP="00334D73">
      <w:pPr>
        <w:jc w:val="both"/>
        <w:rPr>
          <w:rFonts w:ascii="Century Gothic" w:hAnsi="Century Gothic"/>
          <w:sz w:val="20"/>
          <w:szCs w:val="20"/>
        </w:rPr>
      </w:pPr>
    </w:p>
    <w:p w:rsidR="00334D73" w:rsidRDefault="00334D73" w:rsidP="00334D73">
      <w:pPr>
        <w:pStyle w:val="ListParagraph"/>
        <w:ind w:left="2520" w:firstLine="360"/>
        <w:jc w:val="both"/>
        <w:rPr>
          <w:rFonts w:ascii="Century Gothic" w:hAnsi="Century Gothic"/>
          <w:b/>
          <w:sz w:val="20"/>
          <w:szCs w:val="20"/>
        </w:rPr>
      </w:pPr>
      <w:r w:rsidRPr="00C10DDD">
        <w:rPr>
          <w:rFonts w:ascii="Century Gothic" w:hAnsi="Century Gothic"/>
          <w:b/>
          <w:sz w:val="20"/>
          <w:szCs w:val="20"/>
        </w:rPr>
        <w:t>Total participants</w:t>
      </w:r>
      <w:r w:rsidRPr="00C10DDD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41</w:t>
      </w:r>
      <w:r w:rsidRPr="00C10DDD">
        <w:rPr>
          <w:rFonts w:ascii="Century Gothic" w:hAnsi="Century Gothic"/>
          <w:b/>
          <w:sz w:val="20"/>
          <w:szCs w:val="20"/>
        </w:rPr>
        <w:t xml:space="preserve"> persons</w:t>
      </w:r>
    </w:p>
    <w:p w:rsidR="00334D73" w:rsidRPr="00D82A76" w:rsidRDefault="00334D73" w:rsidP="00703470">
      <w:pPr>
        <w:jc w:val="both"/>
        <w:rPr>
          <w:rFonts w:ascii="Century Gothic" w:hAnsi="Century Gothic"/>
          <w:sz w:val="20"/>
          <w:szCs w:val="20"/>
        </w:rPr>
      </w:pPr>
    </w:p>
    <w:sectPr w:rsidR="00334D73" w:rsidRPr="00D82A76" w:rsidSect="00DD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95" w:rsidRDefault="00E30D95">
      <w:r>
        <w:separator/>
      </w:r>
    </w:p>
  </w:endnote>
  <w:endnote w:type="continuationSeparator" w:id="1">
    <w:p w:rsidR="00E30D95" w:rsidRDefault="00E3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0" w:rsidRDefault="004B61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DD" w:rsidRDefault="000F7956">
    <w:pPr>
      <w:pStyle w:val="Footer"/>
      <w:pBdr>
        <w:top w:val="single" w:sz="4" w:space="1" w:color="D9D9D9"/>
      </w:pBdr>
      <w:jc w:val="right"/>
    </w:pPr>
    <w:fldSimple w:instr=" PAGE   \* MERGEFORMAT ">
      <w:r w:rsidR="0048678A">
        <w:rPr>
          <w:noProof/>
        </w:rPr>
        <w:t>1</w:t>
      </w:r>
    </w:fldSimple>
    <w:r w:rsidR="002C69DD">
      <w:t xml:space="preserve"> | </w:t>
    </w:r>
    <w:r w:rsidR="002C69DD">
      <w:rPr>
        <w:color w:val="7F7F7F"/>
        <w:spacing w:val="60"/>
      </w:rPr>
      <w:t>Page</w:t>
    </w:r>
  </w:p>
  <w:p w:rsidR="002C69DD" w:rsidRDefault="00233B2F">
    <w:pPr>
      <w:pStyle w:val="Footer"/>
    </w:pPr>
    <w:r>
      <w:rPr>
        <w:noProof/>
        <w:lang w:val="en-CA" w:eastAsia="en-CA"/>
      </w:rPr>
      <w:drawing>
        <wp:inline distT="0" distB="0" distL="0" distR="0">
          <wp:extent cx="922020" cy="358140"/>
          <wp:effectExtent l="19050" t="0" r="0" b="0"/>
          <wp:docPr id="1" name="Picture 1" descr="C:\Users\John Mason\Desktop\1st Cocoa Roundtable Nov 08\Cadbu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 Mason\Desktop\1st Cocoa Roundtable Nov 08\Cadbur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="00611E92">
      <w:rPr>
        <w:rFonts w:ascii="Century Gothic" w:hAnsi="Century Gothic"/>
        <w:b/>
        <w:sz w:val="20"/>
        <w:szCs w:val="20"/>
      </w:rPr>
      <w:t>this series is  s</w:t>
    </w:r>
    <w:r w:rsidR="00760A29">
      <w:rPr>
        <w:rFonts w:ascii="Century Gothic" w:hAnsi="Century Gothic"/>
        <w:b/>
        <w:sz w:val="20"/>
        <w:szCs w:val="20"/>
      </w:rPr>
      <w:t>upported by Cadbury</w:t>
    </w:r>
    <w:r w:rsidR="00611E92">
      <w:rPr>
        <w:rFonts w:ascii="Century Gothic" w:hAnsi="Century Gothic"/>
        <w:b/>
        <w:sz w:val="20"/>
        <w:szCs w:val="20"/>
      </w:rPr>
      <w:t>-Schweppes plc.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0" w:rsidRDefault="004B6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95" w:rsidRDefault="00E30D95">
      <w:r>
        <w:separator/>
      </w:r>
    </w:p>
  </w:footnote>
  <w:footnote w:type="continuationSeparator" w:id="1">
    <w:p w:rsidR="00E30D95" w:rsidRDefault="00E30D95">
      <w:r>
        <w:continuationSeparator/>
      </w:r>
    </w:p>
  </w:footnote>
  <w:footnote w:id="2">
    <w:p w:rsidR="00F90797" w:rsidRPr="000308CD" w:rsidRDefault="00F90797">
      <w:pPr>
        <w:pStyle w:val="FootnoteText"/>
        <w:rPr>
          <w:rFonts w:ascii="Century Gothic" w:hAnsi="Century Gothic"/>
          <w:sz w:val="16"/>
          <w:szCs w:val="16"/>
          <w:lang w:val="en-GB"/>
        </w:rPr>
      </w:pPr>
      <w:r w:rsidRPr="000308CD">
        <w:rPr>
          <w:rStyle w:val="FootnoteReference"/>
          <w:rFonts w:ascii="Century Gothic" w:hAnsi="Century Gothic"/>
          <w:sz w:val="16"/>
          <w:szCs w:val="16"/>
        </w:rPr>
        <w:footnoteRef/>
      </w:r>
      <w:r w:rsidRPr="000308CD">
        <w:rPr>
          <w:rFonts w:ascii="Century Gothic" w:hAnsi="Century Gothic"/>
          <w:sz w:val="16"/>
          <w:szCs w:val="16"/>
        </w:rPr>
        <w:t xml:space="preserve"> The Katoomba Group and NCRC are engaged in discussions with other potential carbon project developers, and also plan to initiate a regional ‘Katoomba Ecosystem Services Incubator’ to provide technical and financial support for getting community-based PES products to market. The ‘Incubator’ is currently being road tested in </w:t>
      </w:r>
      <w:smartTag w:uri="urn:schemas-microsoft-com:office:smarttags" w:element="place">
        <w:r w:rsidRPr="000308CD">
          <w:rPr>
            <w:rFonts w:ascii="Century Gothic" w:hAnsi="Century Gothic"/>
            <w:sz w:val="16"/>
            <w:szCs w:val="16"/>
          </w:rPr>
          <w:t>Latin America</w:t>
        </w:r>
      </w:smartTag>
      <w:r w:rsidRPr="000308CD">
        <w:rPr>
          <w:rFonts w:ascii="Century Gothic" w:hAnsi="Century Gothic"/>
          <w:sz w:val="16"/>
          <w:szCs w:val="16"/>
        </w:rPr>
        <w:t xml:space="preserve"> and </w:t>
      </w:r>
      <w:smartTag w:uri="urn:schemas-microsoft-com:office:smarttags" w:element="place">
        <w:r w:rsidRPr="000308CD">
          <w:rPr>
            <w:rFonts w:ascii="Century Gothic" w:hAnsi="Century Gothic"/>
            <w:sz w:val="16"/>
            <w:szCs w:val="16"/>
          </w:rPr>
          <w:t>East Africa</w:t>
        </w:r>
      </w:smartTag>
      <w:r w:rsidRPr="000308CD">
        <w:rPr>
          <w:rFonts w:ascii="Century Gothic" w:hAnsi="Century Gothic"/>
          <w:sz w:val="16"/>
          <w:szCs w:val="16"/>
        </w:rPr>
        <w:t>.</w:t>
      </w:r>
      <w:r w:rsidR="005533BD">
        <w:rPr>
          <w:rFonts w:ascii="Century Gothic" w:hAnsi="Century Gothic"/>
          <w:sz w:val="16"/>
          <w:szCs w:val="16"/>
        </w:rPr>
        <w:t xml:space="preserve">  A community-based sustainable charcoal </w:t>
      </w:r>
      <w:r w:rsidR="0049686C">
        <w:rPr>
          <w:rFonts w:ascii="Century Gothic" w:hAnsi="Century Gothic"/>
          <w:sz w:val="16"/>
          <w:szCs w:val="16"/>
        </w:rPr>
        <w:t>production</w:t>
      </w:r>
      <w:r w:rsidR="005533BD">
        <w:rPr>
          <w:rFonts w:ascii="Century Gothic" w:hAnsi="Century Gothic"/>
          <w:sz w:val="16"/>
          <w:szCs w:val="16"/>
        </w:rPr>
        <w:t xml:space="preserve"> project in the Brong-Ahafo </w:t>
      </w:r>
      <w:r w:rsidR="0049686C">
        <w:rPr>
          <w:rFonts w:ascii="Century Gothic" w:hAnsi="Century Gothic"/>
          <w:sz w:val="16"/>
          <w:szCs w:val="16"/>
        </w:rPr>
        <w:t>Region</w:t>
      </w:r>
      <w:r w:rsidR="005533BD">
        <w:rPr>
          <w:rFonts w:ascii="Century Gothic" w:hAnsi="Century Gothic"/>
          <w:sz w:val="16"/>
          <w:szCs w:val="16"/>
        </w:rPr>
        <w:t xml:space="preserve"> may be one of the first Incubator projects in Ghana.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0" w:rsidRDefault="004B61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0" w:rsidRDefault="004B61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B0" w:rsidRDefault="004B61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788"/>
    <w:multiLevelType w:val="hybridMultilevel"/>
    <w:tmpl w:val="49C0A9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775E05"/>
    <w:multiLevelType w:val="hybridMultilevel"/>
    <w:tmpl w:val="615ED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B1DE4"/>
    <w:multiLevelType w:val="hybridMultilevel"/>
    <w:tmpl w:val="06680082"/>
    <w:lvl w:ilvl="0" w:tplc="630AD9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F60A2E"/>
    <w:multiLevelType w:val="hybridMultilevel"/>
    <w:tmpl w:val="0E648C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DFE1C2A"/>
    <w:multiLevelType w:val="hybridMultilevel"/>
    <w:tmpl w:val="69464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CF6"/>
    <w:rsid w:val="0002179D"/>
    <w:rsid w:val="000308CD"/>
    <w:rsid w:val="00044731"/>
    <w:rsid w:val="000720B7"/>
    <w:rsid w:val="000C34FB"/>
    <w:rsid w:val="000F7956"/>
    <w:rsid w:val="00130C62"/>
    <w:rsid w:val="00130FAF"/>
    <w:rsid w:val="00131BEB"/>
    <w:rsid w:val="00132454"/>
    <w:rsid w:val="001867A8"/>
    <w:rsid w:val="001B0E32"/>
    <w:rsid w:val="001B31F8"/>
    <w:rsid w:val="001C55F9"/>
    <w:rsid w:val="001D3BEA"/>
    <w:rsid w:val="002151FD"/>
    <w:rsid w:val="00233AAE"/>
    <w:rsid w:val="00233AB2"/>
    <w:rsid w:val="00233B2F"/>
    <w:rsid w:val="00246612"/>
    <w:rsid w:val="002828DE"/>
    <w:rsid w:val="002A2E7E"/>
    <w:rsid w:val="002A550F"/>
    <w:rsid w:val="002B54AC"/>
    <w:rsid w:val="002C69DD"/>
    <w:rsid w:val="002E2281"/>
    <w:rsid w:val="00324691"/>
    <w:rsid w:val="00334D73"/>
    <w:rsid w:val="00352A29"/>
    <w:rsid w:val="00394170"/>
    <w:rsid w:val="003C524A"/>
    <w:rsid w:val="003D3E4B"/>
    <w:rsid w:val="00440DF2"/>
    <w:rsid w:val="00477568"/>
    <w:rsid w:val="004850F4"/>
    <w:rsid w:val="0048678A"/>
    <w:rsid w:val="0049686C"/>
    <w:rsid w:val="004B61B0"/>
    <w:rsid w:val="004C5ABB"/>
    <w:rsid w:val="004D7666"/>
    <w:rsid w:val="00500A36"/>
    <w:rsid w:val="00520091"/>
    <w:rsid w:val="005533BD"/>
    <w:rsid w:val="00571A5D"/>
    <w:rsid w:val="005738D8"/>
    <w:rsid w:val="00586982"/>
    <w:rsid w:val="005A4A08"/>
    <w:rsid w:val="005B5AF3"/>
    <w:rsid w:val="005D5972"/>
    <w:rsid w:val="005E3E9F"/>
    <w:rsid w:val="00601425"/>
    <w:rsid w:val="00611E92"/>
    <w:rsid w:val="006338C2"/>
    <w:rsid w:val="00635939"/>
    <w:rsid w:val="00640166"/>
    <w:rsid w:val="00652FBA"/>
    <w:rsid w:val="006B09FE"/>
    <w:rsid w:val="006B0BDF"/>
    <w:rsid w:val="006D011F"/>
    <w:rsid w:val="006D573D"/>
    <w:rsid w:val="006E0D82"/>
    <w:rsid w:val="00703470"/>
    <w:rsid w:val="00717E25"/>
    <w:rsid w:val="00760689"/>
    <w:rsid w:val="00760A29"/>
    <w:rsid w:val="0076157E"/>
    <w:rsid w:val="007B117F"/>
    <w:rsid w:val="007B32DA"/>
    <w:rsid w:val="007C3A22"/>
    <w:rsid w:val="007F1EBB"/>
    <w:rsid w:val="00857038"/>
    <w:rsid w:val="00860AC8"/>
    <w:rsid w:val="0088292C"/>
    <w:rsid w:val="008B45E2"/>
    <w:rsid w:val="008C2EDF"/>
    <w:rsid w:val="008E1CF6"/>
    <w:rsid w:val="008E6701"/>
    <w:rsid w:val="00903514"/>
    <w:rsid w:val="0092619F"/>
    <w:rsid w:val="00933728"/>
    <w:rsid w:val="00961C5C"/>
    <w:rsid w:val="00966017"/>
    <w:rsid w:val="0097533F"/>
    <w:rsid w:val="00981655"/>
    <w:rsid w:val="009825A9"/>
    <w:rsid w:val="009D7C5D"/>
    <w:rsid w:val="009E26EE"/>
    <w:rsid w:val="00A2152F"/>
    <w:rsid w:val="00A65098"/>
    <w:rsid w:val="00A72667"/>
    <w:rsid w:val="00A7491C"/>
    <w:rsid w:val="00A93741"/>
    <w:rsid w:val="00AB1A31"/>
    <w:rsid w:val="00AC1396"/>
    <w:rsid w:val="00AD300C"/>
    <w:rsid w:val="00AF4B32"/>
    <w:rsid w:val="00B326E9"/>
    <w:rsid w:val="00B34A44"/>
    <w:rsid w:val="00B65C1E"/>
    <w:rsid w:val="00BB23B7"/>
    <w:rsid w:val="00BC67E8"/>
    <w:rsid w:val="00BD16FC"/>
    <w:rsid w:val="00BD32C0"/>
    <w:rsid w:val="00C0587A"/>
    <w:rsid w:val="00C15EAB"/>
    <w:rsid w:val="00C3328B"/>
    <w:rsid w:val="00C66FAC"/>
    <w:rsid w:val="00C77F41"/>
    <w:rsid w:val="00CA29D3"/>
    <w:rsid w:val="00CB2091"/>
    <w:rsid w:val="00CB4A27"/>
    <w:rsid w:val="00CE6B23"/>
    <w:rsid w:val="00D3575B"/>
    <w:rsid w:val="00D716A8"/>
    <w:rsid w:val="00D82A76"/>
    <w:rsid w:val="00DD18AD"/>
    <w:rsid w:val="00DE0055"/>
    <w:rsid w:val="00DE0175"/>
    <w:rsid w:val="00E06239"/>
    <w:rsid w:val="00E24C15"/>
    <w:rsid w:val="00E30D95"/>
    <w:rsid w:val="00E57FF5"/>
    <w:rsid w:val="00E86563"/>
    <w:rsid w:val="00E9682F"/>
    <w:rsid w:val="00E96BF7"/>
    <w:rsid w:val="00EB6E4A"/>
    <w:rsid w:val="00ED4DB4"/>
    <w:rsid w:val="00F62FAB"/>
    <w:rsid w:val="00F90797"/>
    <w:rsid w:val="00FC09D1"/>
    <w:rsid w:val="00FD1D09"/>
    <w:rsid w:val="00FE0E7C"/>
    <w:rsid w:val="00FE3B68"/>
    <w:rsid w:val="00FE6C14"/>
    <w:rsid w:val="00FF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E1CF6"/>
  </w:style>
  <w:style w:type="character" w:styleId="CommentReference">
    <w:name w:val="annotation reference"/>
    <w:basedOn w:val="DefaultParagraphFont"/>
    <w:rsid w:val="00394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4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170"/>
  </w:style>
  <w:style w:type="paragraph" w:styleId="CommentSubject">
    <w:name w:val="annotation subject"/>
    <w:basedOn w:val="CommentText"/>
    <w:next w:val="CommentText"/>
    <w:link w:val="CommentSubjectChar"/>
    <w:rsid w:val="0039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170"/>
    <w:rPr>
      <w:b/>
      <w:bCs/>
    </w:rPr>
  </w:style>
  <w:style w:type="paragraph" w:styleId="BalloonText">
    <w:name w:val="Balloon Text"/>
    <w:basedOn w:val="Normal"/>
    <w:link w:val="BalloonTextChar"/>
    <w:rsid w:val="0039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1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A4A0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A4A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46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6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6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12"/>
    <w:rPr>
      <w:sz w:val="24"/>
      <w:szCs w:val="24"/>
      <w:lang w:val="en-US" w:eastAsia="en-US"/>
    </w:rPr>
  </w:style>
  <w:style w:type="table" w:styleId="TableSimple1">
    <w:name w:val="Table Simple 1"/>
    <w:basedOn w:val="TableNormal"/>
    <w:rsid w:val="005738D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34D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C991-DF1D-43E0-8C0C-1D0D9E9B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Operationalising Carbon Finance for Sustainable Forestry in Ghana</vt:lpstr>
    </vt:vector>
  </TitlesOfParts>
  <Company> NCRC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Operationalising Carbon Finance for Sustainable Forestry in Ghana</dc:title>
  <dc:subject/>
  <dc:creator>John Mason</dc:creator>
  <cp:keywords/>
  <cp:lastModifiedBy>John Mason</cp:lastModifiedBy>
  <cp:revision>10</cp:revision>
  <cp:lastPrinted>2008-10-23T09:01:00Z</cp:lastPrinted>
  <dcterms:created xsi:type="dcterms:W3CDTF">2008-11-13T21:14:00Z</dcterms:created>
  <dcterms:modified xsi:type="dcterms:W3CDTF">2008-11-24T09:26:00Z</dcterms:modified>
</cp:coreProperties>
</file>