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84BEF" w14:textId="7856E112" w:rsidR="00FE4745" w:rsidRPr="003F3C2F" w:rsidRDefault="00E4785A" w:rsidP="00432A93">
      <w:pPr>
        <w:spacing w:before="240" w:after="240" w:line="276" w:lineRule="auto"/>
      </w:pPr>
      <w:bookmarkStart w:id="0" w:name="_GoBack"/>
      <w:bookmarkEnd w:id="0"/>
      <w:r>
        <w:rPr>
          <w:noProof/>
          <w:lang w:val="en-US" w:eastAsia="en-US"/>
        </w:rPr>
        <w:drawing>
          <wp:anchor distT="0" distB="0" distL="114300" distR="114300" simplePos="0" relativeHeight="251659264" behindDoc="1" locked="0" layoutInCell="1" allowOverlap="1" wp14:anchorId="38055BD0" wp14:editId="7A1F88F5">
            <wp:simplePos x="0" y="0"/>
            <wp:positionH relativeFrom="column">
              <wp:posOffset>2440745</wp:posOffset>
            </wp:positionH>
            <wp:positionV relativeFrom="paragraph">
              <wp:posOffset>342</wp:posOffset>
            </wp:positionV>
            <wp:extent cx="1334135" cy="1303655"/>
            <wp:effectExtent l="0" t="0" r="0" b="4445"/>
            <wp:wrapTight wrapText="bothSides">
              <wp:wrapPolygon edited="0">
                <wp:start x="7197" y="0"/>
                <wp:lineTo x="3701" y="421"/>
                <wp:lineTo x="0" y="2104"/>
                <wp:lineTo x="0" y="5681"/>
                <wp:lineTo x="3701" y="6734"/>
                <wp:lineTo x="2056" y="10100"/>
                <wp:lineTo x="1234" y="10732"/>
                <wp:lineTo x="1028" y="12625"/>
                <wp:lineTo x="1645" y="13467"/>
                <wp:lineTo x="206" y="13467"/>
                <wp:lineTo x="206" y="14098"/>
                <wp:lineTo x="1028" y="16834"/>
                <wp:lineTo x="1028" y="17676"/>
                <wp:lineTo x="2879" y="20201"/>
                <wp:lineTo x="8225" y="21463"/>
                <wp:lineTo x="8842" y="21463"/>
                <wp:lineTo x="12543" y="21463"/>
                <wp:lineTo x="13159" y="21463"/>
                <wp:lineTo x="18505" y="20201"/>
                <wp:lineTo x="20356" y="17676"/>
                <wp:lineTo x="20356" y="16834"/>
                <wp:lineTo x="21178" y="14098"/>
                <wp:lineTo x="21178" y="13467"/>
                <wp:lineTo x="19739" y="13467"/>
                <wp:lineTo x="20356" y="12625"/>
                <wp:lineTo x="20150" y="10732"/>
                <wp:lineTo x="19328" y="10100"/>
                <wp:lineTo x="17683" y="6734"/>
                <wp:lineTo x="21384" y="5681"/>
                <wp:lineTo x="21384" y="2104"/>
                <wp:lineTo x="17683" y="421"/>
                <wp:lineTo x="14188" y="0"/>
                <wp:lineTo x="7197" y="0"/>
              </wp:wrapPolygon>
            </wp:wrapTight>
            <wp:docPr id="199846942" name="Picture 1" descr="Coat of arms of Libe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Liberia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413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745" w:rsidRPr="003F3C2F">
        <w:fldChar w:fldCharType="begin"/>
      </w:r>
      <w:r w:rsidR="00FE4745" w:rsidRPr="003F3C2F">
        <w:instrText xml:space="preserve"> INCLUDEPICTURE "C:\\Users\\scnl\\Library\\Group Containers\\UBF8T346G9.ms\\WebArchiveCopyPasteTempFiles\\com.microsoft.Word\\page1image2658784" \* MERGEFORMAT </w:instrText>
      </w:r>
      <w:r w:rsidR="00FE4745" w:rsidRPr="003F3C2F">
        <w:fldChar w:fldCharType="end"/>
      </w:r>
    </w:p>
    <w:p w14:paraId="0975E6E5" w14:textId="77777777" w:rsidR="00FE4745" w:rsidRPr="003F3C2F" w:rsidRDefault="00FE4745" w:rsidP="00432A93">
      <w:pPr>
        <w:spacing w:before="240" w:after="240" w:line="276" w:lineRule="auto"/>
      </w:pPr>
    </w:p>
    <w:p w14:paraId="0B279538" w14:textId="77777777" w:rsidR="00FE4745" w:rsidRPr="003F3C2F" w:rsidRDefault="00FE4745" w:rsidP="00432A93">
      <w:pPr>
        <w:spacing w:before="240" w:after="240" w:line="276" w:lineRule="auto"/>
        <w:jc w:val="center"/>
        <w:rPr>
          <w:b/>
          <w:sz w:val="82"/>
        </w:rPr>
      </w:pPr>
    </w:p>
    <w:p w14:paraId="1C4A74CD" w14:textId="77777777" w:rsidR="00E4785A" w:rsidRDefault="00E4785A" w:rsidP="00E4785A">
      <w:pPr>
        <w:jc w:val="center"/>
        <w:rPr>
          <w:rFonts w:ascii="Book Antiqua" w:hAnsi="Book Antiqua"/>
          <w:sz w:val="64"/>
          <w:szCs w:val="64"/>
        </w:rPr>
      </w:pPr>
    </w:p>
    <w:p w14:paraId="39209EB9" w14:textId="498C0938" w:rsidR="00E4785A" w:rsidRPr="0075624A" w:rsidRDefault="00E4785A" w:rsidP="00E4785A">
      <w:pPr>
        <w:jc w:val="center"/>
        <w:rPr>
          <w:rFonts w:ascii="Book Antiqua" w:hAnsi="Book Antiqua"/>
        </w:rPr>
      </w:pPr>
      <w:r w:rsidRPr="0075624A">
        <w:rPr>
          <w:rFonts w:ascii="Book Antiqua" w:hAnsi="Book Antiqua"/>
          <w:sz w:val="64"/>
          <w:szCs w:val="64"/>
        </w:rPr>
        <w:t>REPUBLIC OF LIBERIA</w:t>
      </w:r>
    </w:p>
    <w:p w14:paraId="391E046B" w14:textId="77777777" w:rsidR="00FE4745" w:rsidRPr="003F3C2F" w:rsidRDefault="00FE4745" w:rsidP="00324985">
      <w:pPr>
        <w:spacing w:before="240" w:after="240" w:line="276" w:lineRule="auto"/>
        <w:rPr>
          <w:b/>
          <w:sz w:val="82"/>
        </w:rPr>
      </w:pPr>
    </w:p>
    <w:p w14:paraId="3BE273DA" w14:textId="46371791" w:rsidR="00FE4745" w:rsidRPr="00E4785A" w:rsidRDefault="00E4785A" w:rsidP="00E4785A">
      <w:pPr>
        <w:overflowPunct/>
        <w:autoSpaceDE/>
        <w:autoSpaceDN/>
        <w:adjustRightInd/>
        <w:spacing w:line="240" w:lineRule="auto"/>
        <w:jc w:val="center"/>
        <w:textAlignment w:val="auto"/>
        <w:rPr>
          <w:rFonts w:ascii="Book Antiqua" w:eastAsiaTheme="minorHAnsi" w:hAnsi="Book Antiqua" w:cstheme="minorBidi"/>
          <w:b/>
          <w:bCs/>
          <w:color w:val="29584D"/>
          <w:sz w:val="64"/>
          <w:szCs w:val="64"/>
          <w:lang w:eastAsia="en-US"/>
        </w:rPr>
      </w:pPr>
      <w:r w:rsidRPr="00E4785A">
        <w:rPr>
          <w:rFonts w:ascii="Book Antiqua" w:eastAsiaTheme="minorHAnsi" w:hAnsi="Book Antiqua" w:cstheme="minorBidi"/>
          <w:b/>
          <w:bCs/>
          <w:color w:val="29584D"/>
          <w:sz w:val="64"/>
          <w:szCs w:val="64"/>
          <w:lang w:eastAsia="en-US"/>
        </w:rPr>
        <w:t>NATIONALLY DETERMINED CONTRIBUTIONS (NDC 3.0)</w:t>
      </w:r>
    </w:p>
    <w:p w14:paraId="79833421" w14:textId="77777777" w:rsidR="00FE4745" w:rsidRPr="003F3C2F" w:rsidRDefault="00FE4745" w:rsidP="00432A93">
      <w:pPr>
        <w:spacing w:before="240" w:after="240" w:line="276" w:lineRule="auto"/>
      </w:pPr>
    </w:p>
    <w:p w14:paraId="3973D032" w14:textId="77777777" w:rsidR="00FE4745" w:rsidRPr="003F3C2F" w:rsidRDefault="00FE4745" w:rsidP="00432A93">
      <w:pPr>
        <w:shd w:val="clear" w:color="auto" w:fill="FFFFFF"/>
        <w:spacing w:before="240" w:after="240" w:line="276" w:lineRule="auto"/>
        <w:rPr>
          <w:color w:val="333333"/>
        </w:rPr>
      </w:pPr>
    </w:p>
    <w:p w14:paraId="2B06F1E5" w14:textId="77777777" w:rsidR="00FE4745" w:rsidRPr="003F3C2F" w:rsidRDefault="00FE4745" w:rsidP="00432A93">
      <w:pPr>
        <w:shd w:val="clear" w:color="auto" w:fill="FFFFFF"/>
        <w:spacing w:before="240" w:after="240" w:line="276" w:lineRule="auto"/>
        <w:rPr>
          <w:color w:val="333333"/>
        </w:rPr>
      </w:pPr>
    </w:p>
    <w:p w14:paraId="447AAEF7" w14:textId="77777777" w:rsidR="00FE4745" w:rsidRPr="003F3C2F" w:rsidRDefault="00FE4745" w:rsidP="00432A93">
      <w:pPr>
        <w:shd w:val="clear" w:color="auto" w:fill="FFFFFF"/>
        <w:spacing w:before="240" w:after="240" w:line="276" w:lineRule="auto"/>
        <w:rPr>
          <w:color w:val="333333"/>
        </w:rPr>
      </w:pPr>
    </w:p>
    <w:p w14:paraId="31970C3A" w14:textId="77777777" w:rsidR="00FE4745" w:rsidRPr="003F3C2F" w:rsidRDefault="00FE4745" w:rsidP="00432A93">
      <w:pPr>
        <w:shd w:val="clear" w:color="auto" w:fill="FFFFFF"/>
        <w:spacing w:before="240" w:after="240" w:line="276" w:lineRule="auto"/>
        <w:rPr>
          <w:color w:val="333333"/>
        </w:rPr>
      </w:pPr>
    </w:p>
    <w:p w14:paraId="0ABCE663" w14:textId="77777777" w:rsidR="00FE4745" w:rsidRPr="003F3C2F" w:rsidRDefault="00FE4745" w:rsidP="00432A93">
      <w:pPr>
        <w:shd w:val="clear" w:color="auto" w:fill="FFFFFF"/>
        <w:spacing w:before="240" w:after="240" w:line="276" w:lineRule="auto"/>
        <w:rPr>
          <w:color w:val="333333"/>
        </w:rPr>
      </w:pPr>
    </w:p>
    <w:p w14:paraId="0B89F996" w14:textId="77777777" w:rsidR="00FE4745" w:rsidRDefault="00FE4745" w:rsidP="00432A93">
      <w:pPr>
        <w:shd w:val="clear" w:color="auto" w:fill="FFFFFF"/>
        <w:spacing w:before="240" w:after="240" w:line="276" w:lineRule="auto"/>
        <w:rPr>
          <w:rFonts w:ascii="Book Antiqua" w:hAnsi="Book Antiqua"/>
          <w:b/>
          <w:sz w:val="50"/>
          <w:szCs w:val="50"/>
        </w:rPr>
      </w:pPr>
    </w:p>
    <w:p w14:paraId="1119BE4C" w14:textId="77777777" w:rsidR="00FE4745" w:rsidRPr="003F3C2F" w:rsidRDefault="00FE4745" w:rsidP="00432A93">
      <w:pPr>
        <w:spacing w:before="240" w:after="240" w:line="276" w:lineRule="auto"/>
        <w:rPr>
          <w:b/>
          <w:sz w:val="30"/>
        </w:rPr>
      </w:pPr>
    </w:p>
    <w:p w14:paraId="1A743422" w14:textId="299825F6" w:rsidR="00506CBF" w:rsidRPr="00E4785A" w:rsidRDefault="00FE4745" w:rsidP="00E4785A">
      <w:pPr>
        <w:spacing w:before="240" w:after="240" w:line="276" w:lineRule="auto"/>
        <w:jc w:val="center"/>
        <w:rPr>
          <w:rFonts w:ascii="Book Antiqua" w:hAnsi="Book Antiqua"/>
          <w:b/>
          <w:sz w:val="30"/>
        </w:rPr>
      </w:pPr>
      <w:r w:rsidRPr="00E4785A">
        <w:rPr>
          <w:rFonts w:ascii="Book Antiqua" w:hAnsi="Book Antiqua"/>
          <w:b/>
          <w:sz w:val="30"/>
        </w:rPr>
        <w:t>September 2025</w:t>
      </w:r>
    </w:p>
    <w:p w14:paraId="22BC7642" w14:textId="27EE44E7" w:rsidR="00AB07B4" w:rsidRPr="003F3C2F" w:rsidRDefault="00AB07B4" w:rsidP="00432A93">
      <w:pPr>
        <w:pStyle w:val="Heading1"/>
        <w:numPr>
          <w:ilvl w:val="0"/>
          <w:numId w:val="0"/>
        </w:numPr>
        <w:spacing w:before="240" w:after="240" w:line="276" w:lineRule="auto"/>
        <w:rPr>
          <w:bCs/>
          <w:u w:val="single"/>
        </w:rPr>
      </w:pPr>
      <w:bookmarkStart w:id="1" w:name="_Toc205444858"/>
      <w:r w:rsidRPr="003F3C2F">
        <w:rPr>
          <w:bCs/>
          <w:u w:val="single"/>
        </w:rPr>
        <w:lastRenderedPageBreak/>
        <w:t>President’s Message</w:t>
      </w:r>
      <w:r w:rsidR="009A6BAB" w:rsidRPr="003F3C2F">
        <w:rPr>
          <w:bCs/>
          <w:u w:val="single"/>
        </w:rPr>
        <w:t xml:space="preserve"> (1 page)</w:t>
      </w:r>
      <w:bookmarkEnd w:id="1"/>
    </w:p>
    <w:p w14:paraId="4E53262F" w14:textId="77777777" w:rsidR="003501DB" w:rsidRPr="003F3C2F" w:rsidRDefault="003501DB" w:rsidP="003501DB">
      <w:pPr>
        <w:pStyle w:val="BodyText"/>
        <w:rPr>
          <w:rFonts w:ascii="Times New Roman" w:hAnsi="Times New Roman"/>
        </w:rPr>
      </w:pPr>
    </w:p>
    <w:p w14:paraId="208778F8" w14:textId="77777777" w:rsidR="003501DB" w:rsidRPr="003F3C2F" w:rsidRDefault="003501DB" w:rsidP="003501DB">
      <w:pPr>
        <w:pStyle w:val="BodyText"/>
        <w:rPr>
          <w:rFonts w:ascii="Times New Roman" w:hAnsi="Times New Roman"/>
        </w:rPr>
      </w:pPr>
    </w:p>
    <w:p w14:paraId="310465F2" w14:textId="77777777" w:rsidR="003501DB" w:rsidRPr="003F3C2F" w:rsidRDefault="003501DB" w:rsidP="003501DB">
      <w:pPr>
        <w:pStyle w:val="BodyText"/>
        <w:rPr>
          <w:rFonts w:ascii="Times New Roman" w:hAnsi="Times New Roman"/>
        </w:rPr>
      </w:pPr>
    </w:p>
    <w:p w14:paraId="6D446E9B" w14:textId="77777777" w:rsidR="003501DB" w:rsidRPr="003F3C2F" w:rsidRDefault="003501DB" w:rsidP="003501DB">
      <w:pPr>
        <w:pStyle w:val="BodyText"/>
        <w:rPr>
          <w:rFonts w:ascii="Times New Roman" w:hAnsi="Times New Roman"/>
        </w:rPr>
      </w:pPr>
    </w:p>
    <w:p w14:paraId="71FDA694" w14:textId="77777777" w:rsidR="003501DB" w:rsidRPr="003F3C2F" w:rsidRDefault="003501DB" w:rsidP="003501DB">
      <w:pPr>
        <w:pStyle w:val="BodyText"/>
        <w:rPr>
          <w:rFonts w:ascii="Times New Roman" w:hAnsi="Times New Roman"/>
        </w:rPr>
      </w:pPr>
    </w:p>
    <w:p w14:paraId="56AAD0DE" w14:textId="77777777" w:rsidR="003501DB" w:rsidRPr="003F3C2F" w:rsidRDefault="003501DB" w:rsidP="003501DB">
      <w:pPr>
        <w:pStyle w:val="BodyText"/>
        <w:rPr>
          <w:rFonts w:ascii="Times New Roman" w:hAnsi="Times New Roman"/>
        </w:rPr>
      </w:pPr>
    </w:p>
    <w:p w14:paraId="35C90A30" w14:textId="77777777" w:rsidR="003501DB" w:rsidRPr="003F3C2F" w:rsidRDefault="003501DB" w:rsidP="003501DB">
      <w:pPr>
        <w:pStyle w:val="BodyText"/>
        <w:rPr>
          <w:rFonts w:ascii="Times New Roman" w:hAnsi="Times New Roman"/>
        </w:rPr>
      </w:pPr>
    </w:p>
    <w:p w14:paraId="3CE03315" w14:textId="77777777" w:rsidR="003501DB" w:rsidRPr="003F3C2F" w:rsidRDefault="003501DB" w:rsidP="003501DB">
      <w:pPr>
        <w:pStyle w:val="BodyText"/>
        <w:rPr>
          <w:rFonts w:ascii="Times New Roman" w:hAnsi="Times New Roman"/>
        </w:rPr>
      </w:pPr>
    </w:p>
    <w:p w14:paraId="07AF59EE" w14:textId="77777777" w:rsidR="003501DB" w:rsidRPr="003F3C2F" w:rsidRDefault="003501DB" w:rsidP="003501DB">
      <w:pPr>
        <w:pStyle w:val="BodyText"/>
        <w:rPr>
          <w:rFonts w:ascii="Times New Roman" w:hAnsi="Times New Roman"/>
        </w:rPr>
      </w:pPr>
    </w:p>
    <w:p w14:paraId="4202CD8A" w14:textId="77777777" w:rsidR="003501DB" w:rsidRPr="003F3C2F" w:rsidRDefault="003501DB" w:rsidP="003501DB">
      <w:pPr>
        <w:pStyle w:val="BodyText"/>
        <w:rPr>
          <w:rFonts w:ascii="Times New Roman" w:hAnsi="Times New Roman"/>
        </w:rPr>
      </w:pPr>
    </w:p>
    <w:p w14:paraId="7D9411F2" w14:textId="77777777" w:rsidR="003501DB" w:rsidRPr="003F3C2F" w:rsidRDefault="003501DB" w:rsidP="003501DB">
      <w:pPr>
        <w:pStyle w:val="BodyText"/>
        <w:rPr>
          <w:rFonts w:ascii="Times New Roman" w:hAnsi="Times New Roman"/>
        </w:rPr>
      </w:pPr>
    </w:p>
    <w:p w14:paraId="56442F18" w14:textId="77777777" w:rsidR="003501DB" w:rsidRPr="003F3C2F" w:rsidRDefault="003501DB" w:rsidP="003501DB">
      <w:pPr>
        <w:pStyle w:val="BodyText"/>
        <w:rPr>
          <w:rFonts w:ascii="Times New Roman" w:hAnsi="Times New Roman"/>
        </w:rPr>
      </w:pPr>
    </w:p>
    <w:p w14:paraId="28074C50" w14:textId="77777777" w:rsidR="003501DB" w:rsidRPr="003F3C2F" w:rsidRDefault="003501DB" w:rsidP="003501DB">
      <w:pPr>
        <w:pStyle w:val="BodyText"/>
        <w:rPr>
          <w:rFonts w:ascii="Times New Roman" w:hAnsi="Times New Roman"/>
        </w:rPr>
      </w:pPr>
    </w:p>
    <w:p w14:paraId="44F26E72" w14:textId="77777777" w:rsidR="003501DB" w:rsidRPr="003F3C2F" w:rsidRDefault="003501DB" w:rsidP="003501DB">
      <w:pPr>
        <w:pStyle w:val="BodyText"/>
        <w:rPr>
          <w:rFonts w:ascii="Times New Roman" w:hAnsi="Times New Roman"/>
        </w:rPr>
      </w:pPr>
    </w:p>
    <w:p w14:paraId="13572DDC" w14:textId="77777777" w:rsidR="003501DB" w:rsidRPr="003F3C2F" w:rsidRDefault="003501DB" w:rsidP="003501DB">
      <w:pPr>
        <w:pStyle w:val="BodyText"/>
        <w:rPr>
          <w:rFonts w:ascii="Times New Roman" w:hAnsi="Times New Roman"/>
        </w:rPr>
      </w:pPr>
    </w:p>
    <w:p w14:paraId="3CF60EB8" w14:textId="77777777" w:rsidR="003501DB" w:rsidRPr="003F3C2F" w:rsidRDefault="003501DB" w:rsidP="003501DB">
      <w:pPr>
        <w:pStyle w:val="BodyText"/>
        <w:rPr>
          <w:rFonts w:ascii="Times New Roman" w:hAnsi="Times New Roman"/>
        </w:rPr>
      </w:pPr>
    </w:p>
    <w:p w14:paraId="345170E2" w14:textId="77777777" w:rsidR="003501DB" w:rsidRPr="003F3C2F" w:rsidRDefault="003501DB" w:rsidP="003501DB">
      <w:pPr>
        <w:pStyle w:val="BodyText"/>
        <w:rPr>
          <w:rFonts w:ascii="Times New Roman" w:hAnsi="Times New Roman"/>
        </w:rPr>
      </w:pPr>
    </w:p>
    <w:p w14:paraId="3BF620B3" w14:textId="77777777" w:rsidR="003501DB" w:rsidRPr="003F3C2F" w:rsidRDefault="003501DB" w:rsidP="003501DB">
      <w:pPr>
        <w:pStyle w:val="BodyText"/>
        <w:rPr>
          <w:rFonts w:ascii="Times New Roman" w:hAnsi="Times New Roman"/>
        </w:rPr>
      </w:pPr>
    </w:p>
    <w:p w14:paraId="46301C98" w14:textId="77777777" w:rsidR="003501DB" w:rsidRPr="003F3C2F" w:rsidRDefault="003501DB" w:rsidP="003501DB">
      <w:pPr>
        <w:pStyle w:val="BodyText"/>
        <w:rPr>
          <w:rFonts w:ascii="Times New Roman" w:hAnsi="Times New Roman"/>
        </w:rPr>
      </w:pPr>
    </w:p>
    <w:p w14:paraId="05E43C06" w14:textId="77777777" w:rsidR="003501DB" w:rsidRPr="003F3C2F" w:rsidRDefault="003501DB" w:rsidP="003501DB">
      <w:pPr>
        <w:pStyle w:val="BodyText"/>
        <w:rPr>
          <w:rFonts w:ascii="Times New Roman" w:hAnsi="Times New Roman"/>
        </w:rPr>
      </w:pPr>
    </w:p>
    <w:p w14:paraId="6A7BDF31" w14:textId="77777777" w:rsidR="003501DB" w:rsidRPr="003F3C2F" w:rsidRDefault="003501DB" w:rsidP="003501DB">
      <w:pPr>
        <w:pStyle w:val="BodyText"/>
        <w:rPr>
          <w:rFonts w:ascii="Times New Roman" w:hAnsi="Times New Roman"/>
        </w:rPr>
      </w:pPr>
    </w:p>
    <w:p w14:paraId="2C29081F" w14:textId="77777777" w:rsidR="003501DB" w:rsidRPr="003F3C2F" w:rsidRDefault="003501DB" w:rsidP="003501DB">
      <w:pPr>
        <w:pStyle w:val="BodyText"/>
        <w:rPr>
          <w:rFonts w:ascii="Times New Roman" w:hAnsi="Times New Roman"/>
        </w:rPr>
      </w:pPr>
    </w:p>
    <w:p w14:paraId="7ADDFBFC" w14:textId="77777777" w:rsidR="003501DB" w:rsidRPr="003F3C2F" w:rsidRDefault="003501DB" w:rsidP="003501DB">
      <w:pPr>
        <w:pStyle w:val="BodyText"/>
        <w:rPr>
          <w:rFonts w:ascii="Times New Roman" w:hAnsi="Times New Roman"/>
        </w:rPr>
      </w:pPr>
    </w:p>
    <w:p w14:paraId="130F881D" w14:textId="77777777" w:rsidR="003501DB" w:rsidRPr="003F3C2F" w:rsidRDefault="003501DB" w:rsidP="003501DB">
      <w:pPr>
        <w:pStyle w:val="BodyText"/>
        <w:rPr>
          <w:rFonts w:ascii="Times New Roman" w:hAnsi="Times New Roman"/>
        </w:rPr>
      </w:pPr>
    </w:p>
    <w:p w14:paraId="5C353A25" w14:textId="77777777" w:rsidR="003501DB" w:rsidRPr="003F3C2F" w:rsidRDefault="003501DB" w:rsidP="003501DB">
      <w:pPr>
        <w:pStyle w:val="BodyText"/>
        <w:rPr>
          <w:rFonts w:ascii="Times New Roman" w:hAnsi="Times New Roman"/>
        </w:rPr>
      </w:pPr>
    </w:p>
    <w:p w14:paraId="0723FE4B" w14:textId="77777777" w:rsidR="003501DB" w:rsidRDefault="003501DB" w:rsidP="003501DB">
      <w:pPr>
        <w:pStyle w:val="BodyText"/>
        <w:rPr>
          <w:rFonts w:ascii="Times New Roman" w:hAnsi="Times New Roman"/>
        </w:rPr>
      </w:pPr>
    </w:p>
    <w:p w14:paraId="26D83732" w14:textId="77777777" w:rsidR="00E4785A" w:rsidRDefault="00E4785A" w:rsidP="003501DB">
      <w:pPr>
        <w:pStyle w:val="BodyText"/>
        <w:rPr>
          <w:rFonts w:ascii="Times New Roman" w:hAnsi="Times New Roman"/>
        </w:rPr>
      </w:pPr>
    </w:p>
    <w:p w14:paraId="7D2DB067" w14:textId="77777777" w:rsidR="00E4785A" w:rsidRDefault="00E4785A" w:rsidP="003501DB">
      <w:pPr>
        <w:pStyle w:val="BodyText"/>
        <w:rPr>
          <w:rFonts w:ascii="Times New Roman" w:hAnsi="Times New Roman"/>
        </w:rPr>
      </w:pPr>
    </w:p>
    <w:p w14:paraId="7F18BBA5" w14:textId="77777777" w:rsidR="00E4785A" w:rsidRDefault="00E4785A" w:rsidP="003501DB">
      <w:pPr>
        <w:pStyle w:val="BodyText"/>
        <w:rPr>
          <w:rFonts w:ascii="Times New Roman" w:hAnsi="Times New Roman"/>
        </w:rPr>
      </w:pPr>
    </w:p>
    <w:p w14:paraId="23415D97" w14:textId="77777777" w:rsidR="00E4785A" w:rsidRDefault="00E4785A" w:rsidP="003501DB">
      <w:pPr>
        <w:pStyle w:val="BodyText"/>
        <w:rPr>
          <w:rFonts w:ascii="Times New Roman" w:hAnsi="Times New Roman"/>
        </w:rPr>
      </w:pPr>
    </w:p>
    <w:p w14:paraId="09B5484B" w14:textId="77777777" w:rsidR="00E4785A" w:rsidRDefault="00E4785A" w:rsidP="003501DB">
      <w:pPr>
        <w:pStyle w:val="BodyText"/>
        <w:rPr>
          <w:rFonts w:ascii="Times New Roman" w:hAnsi="Times New Roman"/>
        </w:rPr>
      </w:pPr>
    </w:p>
    <w:p w14:paraId="2FC42E30" w14:textId="77777777" w:rsidR="00E4785A" w:rsidRPr="003F3C2F" w:rsidRDefault="00E4785A" w:rsidP="003501DB">
      <w:pPr>
        <w:pStyle w:val="BodyText"/>
        <w:rPr>
          <w:rFonts w:ascii="Times New Roman" w:hAnsi="Times New Roman"/>
        </w:rPr>
      </w:pPr>
    </w:p>
    <w:p w14:paraId="103B25B0" w14:textId="77777777" w:rsidR="003501DB" w:rsidRPr="003F3C2F" w:rsidRDefault="003501DB" w:rsidP="003501DB">
      <w:pPr>
        <w:pStyle w:val="BodyText"/>
        <w:rPr>
          <w:rFonts w:ascii="Times New Roman" w:hAnsi="Times New Roman"/>
        </w:rPr>
      </w:pPr>
    </w:p>
    <w:p w14:paraId="3A2B48E3" w14:textId="77777777" w:rsidR="003501DB" w:rsidRPr="003F3C2F" w:rsidRDefault="003501DB" w:rsidP="004C7EA7">
      <w:pPr>
        <w:pStyle w:val="BodyText"/>
        <w:rPr>
          <w:rFonts w:ascii="Times New Roman" w:hAnsi="Times New Roman"/>
        </w:rPr>
      </w:pPr>
    </w:p>
    <w:p w14:paraId="1653C3EC" w14:textId="317161A9" w:rsidR="00FE4745" w:rsidRPr="003F3C2F" w:rsidRDefault="00FE4745" w:rsidP="00432A93">
      <w:pPr>
        <w:pStyle w:val="Heading1"/>
        <w:numPr>
          <w:ilvl w:val="0"/>
          <w:numId w:val="0"/>
        </w:numPr>
        <w:spacing w:before="240" w:after="240" w:line="276" w:lineRule="auto"/>
        <w:rPr>
          <w:bCs/>
        </w:rPr>
      </w:pPr>
      <w:bookmarkStart w:id="2" w:name="_Toc205444859"/>
      <w:r w:rsidRPr="003F3C2F">
        <w:rPr>
          <w:bCs/>
          <w:u w:val="single"/>
        </w:rPr>
        <w:lastRenderedPageBreak/>
        <w:t xml:space="preserve">Foreword </w:t>
      </w:r>
      <w:r w:rsidR="009A6BAB" w:rsidRPr="003F3C2F">
        <w:rPr>
          <w:bCs/>
          <w:u w:val="single"/>
        </w:rPr>
        <w:t xml:space="preserve"> (I page)</w:t>
      </w:r>
      <w:bookmarkEnd w:id="2"/>
    </w:p>
    <w:p w14:paraId="64F32E90" w14:textId="77777777" w:rsidR="00FE4745" w:rsidRPr="003F3C2F" w:rsidRDefault="00FE4745" w:rsidP="00432A93">
      <w:pPr>
        <w:overflowPunct/>
        <w:autoSpaceDE/>
        <w:autoSpaceDN/>
        <w:adjustRightInd/>
        <w:spacing w:before="240" w:after="240" w:line="276" w:lineRule="auto"/>
        <w:textAlignment w:val="auto"/>
        <w:rPr>
          <w:color w:val="548DD4" w:themeColor="text2" w:themeTint="99"/>
          <w:kern w:val="28"/>
          <w:sz w:val="32"/>
          <w:u w:val="single"/>
        </w:rPr>
      </w:pPr>
      <w:r w:rsidRPr="003F3C2F">
        <w:rPr>
          <w:b/>
          <w:u w:val="single"/>
        </w:rPr>
        <w:br w:type="page"/>
      </w:r>
    </w:p>
    <w:p w14:paraId="793C77C1" w14:textId="1F8ADE7A" w:rsidR="00FE4745" w:rsidRPr="003F3C2F" w:rsidRDefault="00FE4745" w:rsidP="00432A93">
      <w:pPr>
        <w:pStyle w:val="Heading1"/>
        <w:numPr>
          <w:ilvl w:val="0"/>
          <w:numId w:val="0"/>
        </w:numPr>
        <w:spacing w:before="240" w:after="240" w:line="276" w:lineRule="auto"/>
        <w:rPr>
          <w:bCs/>
        </w:rPr>
      </w:pPr>
      <w:bookmarkStart w:id="3" w:name="_Toc205444860"/>
      <w:r w:rsidRPr="003F3C2F">
        <w:rPr>
          <w:bCs/>
          <w:u w:val="single"/>
        </w:rPr>
        <w:lastRenderedPageBreak/>
        <w:t xml:space="preserve">Acknowledgements </w:t>
      </w:r>
      <w:r w:rsidR="009A6BAB" w:rsidRPr="003F3C2F">
        <w:rPr>
          <w:bCs/>
          <w:u w:val="single"/>
        </w:rPr>
        <w:t>(1 page)</w:t>
      </w:r>
      <w:bookmarkEnd w:id="3"/>
    </w:p>
    <w:p w14:paraId="66FED9AB" w14:textId="77777777" w:rsidR="00550AE4" w:rsidRDefault="00550AE4" w:rsidP="00550AE4">
      <w:pPr>
        <w:pStyle w:val="BodyText"/>
        <w:rPr>
          <w:rFonts w:ascii="Times New Roman" w:hAnsi="Times New Roman"/>
        </w:rPr>
      </w:pPr>
    </w:p>
    <w:p w14:paraId="0DFE5C55" w14:textId="77777777" w:rsidR="00E4785A" w:rsidRDefault="00E4785A" w:rsidP="00550AE4">
      <w:pPr>
        <w:pStyle w:val="BodyText"/>
        <w:rPr>
          <w:rFonts w:ascii="Times New Roman" w:hAnsi="Times New Roman"/>
        </w:rPr>
      </w:pPr>
    </w:p>
    <w:p w14:paraId="23724E0E" w14:textId="77777777" w:rsidR="00E4785A" w:rsidRDefault="00E4785A" w:rsidP="00550AE4">
      <w:pPr>
        <w:pStyle w:val="BodyText"/>
        <w:rPr>
          <w:rFonts w:ascii="Times New Roman" w:hAnsi="Times New Roman"/>
        </w:rPr>
      </w:pPr>
    </w:p>
    <w:p w14:paraId="0BB15D12" w14:textId="77777777" w:rsidR="00E4785A" w:rsidRDefault="00E4785A" w:rsidP="00550AE4">
      <w:pPr>
        <w:pStyle w:val="BodyText"/>
        <w:rPr>
          <w:rFonts w:ascii="Times New Roman" w:hAnsi="Times New Roman"/>
        </w:rPr>
      </w:pPr>
    </w:p>
    <w:p w14:paraId="0801F02E" w14:textId="77777777" w:rsidR="00E4785A" w:rsidRDefault="00E4785A" w:rsidP="00550AE4">
      <w:pPr>
        <w:pStyle w:val="BodyText"/>
        <w:rPr>
          <w:rFonts w:ascii="Times New Roman" w:hAnsi="Times New Roman"/>
        </w:rPr>
      </w:pPr>
    </w:p>
    <w:p w14:paraId="6F356A93" w14:textId="77777777" w:rsidR="00E4785A" w:rsidRDefault="00E4785A" w:rsidP="00550AE4">
      <w:pPr>
        <w:pStyle w:val="BodyText"/>
        <w:rPr>
          <w:rFonts w:ascii="Times New Roman" w:hAnsi="Times New Roman"/>
        </w:rPr>
      </w:pPr>
    </w:p>
    <w:p w14:paraId="614F6F11" w14:textId="77777777" w:rsidR="00E4785A" w:rsidRDefault="00E4785A" w:rsidP="00550AE4">
      <w:pPr>
        <w:pStyle w:val="BodyText"/>
        <w:rPr>
          <w:rFonts w:ascii="Times New Roman" w:hAnsi="Times New Roman"/>
        </w:rPr>
      </w:pPr>
    </w:p>
    <w:p w14:paraId="7DEDEE1F" w14:textId="77777777" w:rsidR="00E4785A" w:rsidRDefault="00E4785A" w:rsidP="00550AE4">
      <w:pPr>
        <w:pStyle w:val="BodyText"/>
        <w:rPr>
          <w:rFonts w:ascii="Times New Roman" w:hAnsi="Times New Roman"/>
        </w:rPr>
      </w:pPr>
    </w:p>
    <w:p w14:paraId="7216439F" w14:textId="77777777" w:rsidR="00E4785A" w:rsidRDefault="00E4785A" w:rsidP="00550AE4">
      <w:pPr>
        <w:pStyle w:val="BodyText"/>
        <w:rPr>
          <w:rFonts w:ascii="Times New Roman" w:hAnsi="Times New Roman"/>
        </w:rPr>
      </w:pPr>
    </w:p>
    <w:p w14:paraId="4EA335C5" w14:textId="77777777" w:rsidR="00E4785A" w:rsidRDefault="00E4785A" w:rsidP="00550AE4">
      <w:pPr>
        <w:pStyle w:val="BodyText"/>
        <w:rPr>
          <w:rFonts w:ascii="Times New Roman" w:hAnsi="Times New Roman"/>
        </w:rPr>
      </w:pPr>
    </w:p>
    <w:p w14:paraId="2BAF3F2A" w14:textId="77777777" w:rsidR="00E4785A" w:rsidRDefault="00E4785A" w:rsidP="00550AE4">
      <w:pPr>
        <w:pStyle w:val="BodyText"/>
        <w:rPr>
          <w:rFonts w:ascii="Times New Roman" w:hAnsi="Times New Roman"/>
        </w:rPr>
      </w:pPr>
    </w:p>
    <w:p w14:paraId="38C5D5F3" w14:textId="77777777" w:rsidR="00E4785A" w:rsidRDefault="00E4785A" w:rsidP="00550AE4">
      <w:pPr>
        <w:pStyle w:val="BodyText"/>
        <w:rPr>
          <w:rFonts w:ascii="Times New Roman" w:hAnsi="Times New Roman"/>
        </w:rPr>
      </w:pPr>
    </w:p>
    <w:p w14:paraId="7EA38AFD" w14:textId="77777777" w:rsidR="00E4785A" w:rsidRDefault="00E4785A" w:rsidP="00550AE4">
      <w:pPr>
        <w:pStyle w:val="BodyText"/>
        <w:rPr>
          <w:rFonts w:ascii="Times New Roman" w:hAnsi="Times New Roman"/>
        </w:rPr>
      </w:pPr>
    </w:p>
    <w:p w14:paraId="282B4B40" w14:textId="77777777" w:rsidR="00E4785A" w:rsidRDefault="00E4785A" w:rsidP="00550AE4">
      <w:pPr>
        <w:pStyle w:val="BodyText"/>
        <w:rPr>
          <w:rFonts w:ascii="Times New Roman" w:hAnsi="Times New Roman"/>
        </w:rPr>
      </w:pPr>
    </w:p>
    <w:p w14:paraId="57CE93FA" w14:textId="77777777" w:rsidR="00E4785A" w:rsidRDefault="00E4785A" w:rsidP="00550AE4">
      <w:pPr>
        <w:pStyle w:val="BodyText"/>
        <w:rPr>
          <w:rFonts w:ascii="Times New Roman" w:hAnsi="Times New Roman"/>
        </w:rPr>
      </w:pPr>
    </w:p>
    <w:p w14:paraId="30BDFA3F" w14:textId="77777777" w:rsidR="00E4785A" w:rsidRDefault="00E4785A" w:rsidP="00550AE4">
      <w:pPr>
        <w:pStyle w:val="BodyText"/>
        <w:rPr>
          <w:rFonts w:ascii="Times New Roman" w:hAnsi="Times New Roman"/>
        </w:rPr>
      </w:pPr>
    </w:p>
    <w:p w14:paraId="4DAE48A9" w14:textId="77777777" w:rsidR="00E4785A" w:rsidRDefault="00E4785A" w:rsidP="00550AE4">
      <w:pPr>
        <w:pStyle w:val="BodyText"/>
        <w:rPr>
          <w:rFonts w:ascii="Times New Roman" w:hAnsi="Times New Roman"/>
        </w:rPr>
      </w:pPr>
    </w:p>
    <w:p w14:paraId="0943A12E" w14:textId="77777777" w:rsidR="00E4785A" w:rsidRDefault="00E4785A" w:rsidP="00550AE4">
      <w:pPr>
        <w:pStyle w:val="BodyText"/>
        <w:rPr>
          <w:rFonts w:ascii="Times New Roman" w:hAnsi="Times New Roman"/>
        </w:rPr>
      </w:pPr>
    </w:p>
    <w:p w14:paraId="264A9C5F" w14:textId="77777777" w:rsidR="00E4785A" w:rsidRDefault="00E4785A" w:rsidP="00550AE4">
      <w:pPr>
        <w:pStyle w:val="BodyText"/>
        <w:rPr>
          <w:rFonts w:ascii="Times New Roman" w:hAnsi="Times New Roman"/>
        </w:rPr>
      </w:pPr>
    </w:p>
    <w:p w14:paraId="33DE1917" w14:textId="77777777" w:rsidR="00E4785A" w:rsidRDefault="00E4785A" w:rsidP="00550AE4">
      <w:pPr>
        <w:pStyle w:val="BodyText"/>
        <w:rPr>
          <w:rFonts w:ascii="Times New Roman" w:hAnsi="Times New Roman"/>
        </w:rPr>
      </w:pPr>
    </w:p>
    <w:p w14:paraId="495A92A7" w14:textId="77777777" w:rsidR="00E4785A" w:rsidRDefault="00E4785A" w:rsidP="00550AE4">
      <w:pPr>
        <w:pStyle w:val="BodyText"/>
        <w:rPr>
          <w:rFonts w:ascii="Times New Roman" w:hAnsi="Times New Roman"/>
        </w:rPr>
      </w:pPr>
    </w:p>
    <w:p w14:paraId="0C793C61" w14:textId="77777777" w:rsidR="00E4785A" w:rsidRDefault="00E4785A" w:rsidP="00550AE4">
      <w:pPr>
        <w:pStyle w:val="BodyText"/>
        <w:rPr>
          <w:rFonts w:ascii="Times New Roman" w:hAnsi="Times New Roman"/>
        </w:rPr>
      </w:pPr>
    </w:p>
    <w:p w14:paraId="00CEDB92" w14:textId="77777777" w:rsidR="00E4785A" w:rsidRDefault="00E4785A" w:rsidP="00550AE4">
      <w:pPr>
        <w:pStyle w:val="BodyText"/>
        <w:rPr>
          <w:rFonts w:ascii="Times New Roman" w:hAnsi="Times New Roman"/>
        </w:rPr>
      </w:pPr>
    </w:p>
    <w:p w14:paraId="2624E1A5" w14:textId="77777777" w:rsidR="00E4785A" w:rsidRDefault="00E4785A" w:rsidP="00550AE4">
      <w:pPr>
        <w:pStyle w:val="BodyText"/>
        <w:rPr>
          <w:rFonts w:ascii="Times New Roman" w:hAnsi="Times New Roman"/>
        </w:rPr>
      </w:pPr>
    </w:p>
    <w:p w14:paraId="3D034489" w14:textId="77777777" w:rsidR="00E4785A" w:rsidRDefault="00E4785A" w:rsidP="00550AE4">
      <w:pPr>
        <w:pStyle w:val="BodyText"/>
        <w:rPr>
          <w:rFonts w:ascii="Times New Roman" w:hAnsi="Times New Roman"/>
        </w:rPr>
      </w:pPr>
    </w:p>
    <w:p w14:paraId="6E3A8BC1" w14:textId="77777777" w:rsidR="00E4785A" w:rsidRDefault="00E4785A" w:rsidP="00550AE4">
      <w:pPr>
        <w:pStyle w:val="BodyText"/>
        <w:rPr>
          <w:rFonts w:ascii="Times New Roman" w:hAnsi="Times New Roman"/>
        </w:rPr>
      </w:pPr>
    </w:p>
    <w:p w14:paraId="28355AAB" w14:textId="77777777" w:rsidR="00E4785A" w:rsidRDefault="00E4785A" w:rsidP="00550AE4">
      <w:pPr>
        <w:pStyle w:val="BodyText"/>
        <w:rPr>
          <w:rFonts w:ascii="Times New Roman" w:hAnsi="Times New Roman"/>
        </w:rPr>
      </w:pPr>
    </w:p>
    <w:p w14:paraId="4A61F0BB" w14:textId="77777777" w:rsidR="00E4785A" w:rsidRDefault="00E4785A" w:rsidP="00550AE4">
      <w:pPr>
        <w:pStyle w:val="BodyText"/>
        <w:rPr>
          <w:rFonts w:ascii="Times New Roman" w:hAnsi="Times New Roman"/>
        </w:rPr>
      </w:pPr>
    </w:p>
    <w:p w14:paraId="187B7346" w14:textId="77777777" w:rsidR="00E4785A" w:rsidRDefault="00E4785A" w:rsidP="00550AE4">
      <w:pPr>
        <w:pStyle w:val="BodyText"/>
        <w:rPr>
          <w:rFonts w:ascii="Times New Roman" w:hAnsi="Times New Roman"/>
        </w:rPr>
      </w:pPr>
    </w:p>
    <w:p w14:paraId="3B7FD997" w14:textId="77777777" w:rsidR="00E4785A" w:rsidRDefault="00E4785A" w:rsidP="00550AE4">
      <w:pPr>
        <w:pStyle w:val="BodyText"/>
        <w:rPr>
          <w:rFonts w:ascii="Times New Roman" w:hAnsi="Times New Roman"/>
        </w:rPr>
      </w:pPr>
    </w:p>
    <w:p w14:paraId="6EA32D01" w14:textId="77777777" w:rsidR="00E4785A" w:rsidRDefault="00E4785A" w:rsidP="00550AE4">
      <w:pPr>
        <w:pStyle w:val="BodyText"/>
        <w:rPr>
          <w:rFonts w:ascii="Times New Roman" w:hAnsi="Times New Roman"/>
        </w:rPr>
      </w:pPr>
    </w:p>
    <w:p w14:paraId="424DA8C6" w14:textId="77777777" w:rsidR="00E4785A" w:rsidRDefault="00E4785A" w:rsidP="00550AE4">
      <w:pPr>
        <w:pStyle w:val="BodyText"/>
        <w:rPr>
          <w:rFonts w:ascii="Times New Roman" w:hAnsi="Times New Roman"/>
        </w:rPr>
      </w:pPr>
    </w:p>
    <w:p w14:paraId="36494CA6" w14:textId="77777777" w:rsidR="00E4785A" w:rsidRPr="003F3C2F" w:rsidRDefault="00E4785A" w:rsidP="00550AE4">
      <w:pPr>
        <w:pStyle w:val="BodyText"/>
        <w:rPr>
          <w:rFonts w:ascii="Times New Roman" w:hAnsi="Times New Roman"/>
        </w:rPr>
      </w:pPr>
    </w:p>
    <w:p w14:paraId="4C014A97" w14:textId="0DEAC28E" w:rsidR="00FE4745" w:rsidRPr="003F3C2F" w:rsidRDefault="00FE4745" w:rsidP="00432A93">
      <w:pPr>
        <w:pStyle w:val="Heading1"/>
        <w:numPr>
          <w:ilvl w:val="0"/>
          <w:numId w:val="0"/>
        </w:numPr>
        <w:spacing w:before="240" w:after="240" w:line="276" w:lineRule="auto"/>
        <w:rPr>
          <w:bCs/>
        </w:rPr>
      </w:pPr>
      <w:bookmarkStart w:id="4" w:name="_Toc205444861"/>
      <w:r w:rsidRPr="003F3C2F">
        <w:rPr>
          <w:bCs/>
          <w:u w:val="single"/>
        </w:rPr>
        <w:lastRenderedPageBreak/>
        <w:t xml:space="preserve">Executive Summary </w:t>
      </w:r>
      <w:r w:rsidR="009A6BAB" w:rsidRPr="003F3C2F">
        <w:rPr>
          <w:bCs/>
          <w:u w:val="single"/>
        </w:rPr>
        <w:t xml:space="preserve"> (2-3 pages)</w:t>
      </w:r>
      <w:bookmarkEnd w:id="4"/>
    </w:p>
    <w:p w14:paraId="68976C34" w14:textId="77777777" w:rsidR="00FE4745" w:rsidRPr="003F3C2F" w:rsidRDefault="00FE4745" w:rsidP="00432A93">
      <w:pPr>
        <w:pStyle w:val="TOCHeading"/>
        <w:spacing w:after="240" w:line="276" w:lineRule="auto"/>
        <w:rPr>
          <w:rFonts w:ascii="Times New Roman" w:hAnsi="Times New Roman" w:cs="Times New Roman"/>
          <w:b/>
          <w:bCs/>
        </w:rPr>
      </w:pPr>
    </w:p>
    <w:p w14:paraId="141EEF92" w14:textId="77777777" w:rsidR="00FE4745" w:rsidRPr="003F3C2F" w:rsidRDefault="00FE4745" w:rsidP="00432A93">
      <w:pPr>
        <w:spacing w:before="240" w:after="240" w:line="276" w:lineRule="auto"/>
        <w:rPr>
          <w:b/>
          <w:bCs/>
        </w:rPr>
      </w:pPr>
    </w:p>
    <w:p w14:paraId="01D95E01" w14:textId="77777777" w:rsidR="00FE4745" w:rsidRPr="003F3C2F" w:rsidRDefault="00FE4745" w:rsidP="00432A93">
      <w:pPr>
        <w:spacing w:before="240" w:after="240" w:line="276" w:lineRule="auto"/>
        <w:rPr>
          <w:b/>
          <w:bCs/>
        </w:rPr>
      </w:pPr>
    </w:p>
    <w:p w14:paraId="0AF7F50E" w14:textId="77777777" w:rsidR="00FE4745" w:rsidRPr="003F3C2F" w:rsidRDefault="00FE4745" w:rsidP="00432A93">
      <w:pPr>
        <w:spacing w:before="240" w:after="240" w:line="276" w:lineRule="auto"/>
        <w:rPr>
          <w:b/>
          <w:bCs/>
        </w:rPr>
      </w:pPr>
    </w:p>
    <w:p w14:paraId="6580BF67" w14:textId="77777777" w:rsidR="00FE4745" w:rsidRPr="003F3C2F" w:rsidRDefault="00FE4745" w:rsidP="00432A93">
      <w:pPr>
        <w:spacing w:before="240" w:after="240" w:line="276" w:lineRule="auto"/>
        <w:rPr>
          <w:b/>
          <w:bCs/>
        </w:rPr>
      </w:pPr>
    </w:p>
    <w:p w14:paraId="173BAE6C" w14:textId="77777777" w:rsidR="00FE4745" w:rsidRPr="003F3C2F" w:rsidRDefault="00FE4745" w:rsidP="00432A93">
      <w:pPr>
        <w:spacing w:before="240" w:after="240" w:line="276" w:lineRule="auto"/>
        <w:rPr>
          <w:b/>
          <w:bCs/>
        </w:rPr>
      </w:pPr>
    </w:p>
    <w:p w14:paraId="679F31E2" w14:textId="77777777" w:rsidR="00FE4745" w:rsidRPr="003F3C2F" w:rsidRDefault="00FE4745" w:rsidP="00432A93">
      <w:pPr>
        <w:spacing w:before="240" w:after="240" w:line="276" w:lineRule="auto"/>
        <w:rPr>
          <w:b/>
          <w:bCs/>
        </w:rPr>
      </w:pPr>
    </w:p>
    <w:p w14:paraId="6149A455" w14:textId="77777777" w:rsidR="00FE4745" w:rsidRPr="003F3C2F" w:rsidRDefault="00FE4745" w:rsidP="00432A93">
      <w:pPr>
        <w:spacing w:before="240" w:after="240" w:line="276" w:lineRule="auto"/>
        <w:rPr>
          <w:b/>
          <w:bCs/>
        </w:rPr>
      </w:pPr>
    </w:p>
    <w:p w14:paraId="61324D09" w14:textId="77777777" w:rsidR="00FE4745" w:rsidRPr="003F3C2F" w:rsidRDefault="00FE4745" w:rsidP="00432A93">
      <w:pPr>
        <w:spacing w:before="240" w:after="240" w:line="276" w:lineRule="auto"/>
        <w:rPr>
          <w:b/>
          <w:bCs/>
        </w:rPr>
      </w:pPr>
    </w:p>
    <w:p w14:paraId="61C22B48" w14:textId="77777777" w:rsidR="00FE4745" w:rsidRPr="003F3C2F" w:rsidRDefault="00FE4745" w:rsidP="00432A93">
      <w:pPr>
        <w:spacing w:before="240" w:after="240" w:line="276" w:lineRule="auto"/>
        <w:rPr>
          <w:b/>
          <w:bCs/>
        </w:rPr>
      </w:pPr>
    </w:p>
    <w:p w14:paraId="71036143" w14:textId="77777777" w:rsidR="00FE4745" w:rsidRPr="003F3C2F" w:rsidRDefault="00FE4745" w:rsidP="00432A93">
      <w:pPr>
        <w:spacing w:before="240" w:after="240" w:line="276" w:lineRule="auto"/>
        <w:rPr>
          <w:b/>
          <w:bCs/>
        </w:rPr>
        <w:sectPr w:rsidR="00FE4745" w:rsidRPr="003F3C2F" w:rsidSect="008F41B7">
          <w:footerReference w:type="even" r:id="rId12"/>
          <w:footerReference w:type="default" r:id="rId13"/>
          <w:pgSz w:w="11906" w:h="16838" w:code="9"/>
          <w:pgMar w:top="1440" w:right="1080" w:bottom="1440" w:left="1080" w:header="720" w:footer="720" w:gutter="0"/>
          <w:pgNumType w:fmt="lowerRoman"/>
          <w:cols w:space="720"/>
          <w:titlePg/>
          <w:docGrid w:linePitch="360"/>
        </w:sectPr>
      </w:pPr>
    </w:p>
    <w:sdt>
      <w:sdtPr>
        <w:rPr>
          <w:rFonts w:ascii="Times New Roman" w:eastAsia="Times New Roman" w:hAnsi="Times New Roman" w:cs="Times New Roman"/>
          <w:color w:val="auto"/>
          <w:sz w:val="20"/>
          <w:szCs w:val="20"/>
          <w:lang w:val="en-GB" w:eastAsia="da-DK"/>
        </w:rPr>
        <w:id w:val="-86469349"/>
        <w:docPartObj>
          <w:docPartGallery w:val="Table of Contents"/>
          <w:docPartUnique/>
        </w:docPartObj>
      </w:sdtPr>
      <w:sdtEndPr>
        <w:rPr>
          <w:b/>
          <w:bCs/>
          <w:noProof/>
        </w:rPr>
      </w:sdtEndPr>
      <w:sdtContent>
        <w:p w14:paraId="29B74E10" w14:textId="77777777" w:rsidR="00FE4745" w:rsidRPr="003F3C2F" w:rsidRDefault="00FE4745" w:rsidP="00432A93">
          <w:pPr>
            <w:pStyle w:val="TOCHeading"/>
            <w:spacing w:after="240" w:line="276" w:lineRule="auto"/>
            <w:rPr>
              <w:rFonts w:ascii="Times New Roman" w:hAnsi="Times New Roman" w:cs="Times New Roman"/>
            </w:rPr>
          </w:pPr>
          <w:r w:rsidRPr="003F3C2F">
            <w:rPr>
              <w:rFonts w:ascii="Times New Roman" w:hAnsi="Times New Roman" w:cs="Times New Roman"/>
            </w:rPr>
            <w:t>Table of Contents</w:t>
          </w:r>
        </w:p>
        <w:p w14:paraId="1F4CFE30" w14:textId="71DA662D" w:rsidR="00324985" w:rsidRPr="003F3C2F" w:rsidRDefault="00FE4745">
          <w:pPr>
            <w:pStyle w:val="TOC1"/>
            <w:rPr>
              <w:rFonts w:ascii="Times New Roman" w:eastAsiaTheme="minorEastAsia" w:hAnsi="Times New Roman"/>
              <w:b w:val="0"/>
              <w:bCs w:val="0"/>
              <w:caps w:val="0"/>
              <w:noProof/>
              <w:kern w:val="2"/>
              <w:sz w:val="24"/>
              <w:szCs w:val="24"/>
              <w:lang w:eastAsia="en-US"/>
              <w14:ligatures w14:val="standardContextual"/>
            </w:rPr>
          </w:pPr>
          <w:r w:rsidRPr="003F3C2F">
            <w:rPr>
              <w:rFonts w:ascii="Times New Roman" w:hAnsi="Times New Roman"/>
            </w:rPr>
            <w:fldChar w:fldCharType="begin"/>
          </w:r>
          <w:r w:rsidRPr="003F3C2F">
            <w:rPr>
              <w:rFonts w:ascii="Times New Roman" w:hAnsi="Times New Roman"/>
            </w:rPr>
            <w:instrText xml:space="preserve"> TOC \o "1-3" \h \z \u </w:instrText>
          </w:r>
          <w:r w:rsidRPr="003F3C2F">
            <w:rPr>
              <w:rFonts w:ascii="Times New Roman" w:hAnsi="Times New Roman"/>
            </w:rPr>
            <w:fldChar w:fldCharType="separate"/>
          </w:r>
          <w:hyperlink w:anchor="_Toc205444858" w:history="1">
            <w:r w:rsidR="00324985" w:rsidRPr="003F3C2F">
              <w:rPr>
                <w:rStyle w:val="Hyperlink"/>
                <w:rFonts w:ascii="Times New Roman" w:hAnsi="Times New Roman"/>
                <w:noProof/>
              </w:rPr>
              <w:t>President’s Message (1 page)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_Toc205444858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ii</w:t>
            </w:r>
            <w:r w:rsidR="00324985" w:rsidRPr="003F3C2F">
              <w:rPr>
                <w:rFonts w:ascii="Times New Roman" w:hAnsi="Times New Roman"/>
                <w:noProof/>
                <w:webHidden/>
              </w:rPr>
              <w:fldChar w:fldCharType="end"/>
            </w:r>
          </w:hyperlink>
        </w:p>
        <w:p w14:paraId="67C03EB1" w14:textId="1719DF23" w:rsidR="00324985" w:rsidRPr="003F3C2F" w:rsidRDefault="00781F44">
          <w:pPr>
            <w:pStyle w:val="TOC1"/>
            <w:rPr>
              <w:rFonts w:ascii="Times New Roman" w:eastAsiaTheme="minorEastAsia" w:hAnsi="Times New Roman"/>
              <w:b w:val="0"/>
              <w:bCs w:val="0"/>
              <w:caps w:val="0"/>
              <w:noProof/>
              <w:kern w:val="2"/>
              <w:sz w:val="24"/>
              <w:szCs w:val="24"/>
              <w:lang w:eastAsia="en-US"/>
              <w14:ligatures w14:val="standardContextual"/>
            </w:rPr>
          </w:pPr>
          <w:hyperlink w:anchor="_Toc205444859" w:history="1">
            <w:r w:rsidR="00324985" w:rsidRPr="003F3C2F">
              <w:rPr>
                <w:rStyle w:val="Hyperlink"/>
                <w:rFonts w:ascii="Times New Roman" w:hAnsi="Times New Roman"/>
                <w:noProof/>
              </w:rPr>
              <w:t>Foreword  (I page)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_Toc205444859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iii</w:t>
            </w:r>
            <w:r w:rsidR="00324985" w:rsidRPr="003F3C2F">
              <w:rPr>
                <w:rFonts w:ascii="Times New Roman" w:hAnsi="Times New Roman"/>
                <w:noProof/>
                <w:webHidden/>
              </w:rPr>
              <w:fldChar w:fldCharType="end"/>
            </w:r>
          </w:hyperlink>
        </w:p>
        <w:p w14:paraId="55320289" w14:textId="38CB86B9" w:rsidR="00324985" w:rsidRPr="003F3C2F" w:rsidRDefault="00781F44">
          <w:pPr>
            <w:pStyle w:val="TOC1"/>
            <w:rPr>
              <w:rFonts w:ascii="Times New Roman" w:eastAsiaTheme="minorEastAsia" w:hAnsi="Times New Roman"/>
              <w:b w:val="0"/>
              <w:bCs w:val="0"/>
              <w:caps w:val="0"/>
              <w:noProof/>
              <w:kern w:val="2"/>
              <w:sz w:val="24"/>
              <w:szCs w:val="24"/>
              <w:lang w:eastAsia="en-US"/>
              <w14:ligatures w14:val="standardContextual"/>
            </w:rPr>
          </w:pPr>
          <w:hyperlink w:anchor="_Toc205444860" w:history="1">
            <w:r w:rsidR="00324985" w:rsidRPr="003F3C2F">
              <w:rPr>
                <w:rStyle w:val="Hyperlink"/>
                <w:rFonts w:ascii="Times New Roman" w:hAnsi="Times New Roman"/>
                <w:noProof/>
              </w:rPr>
              <w:t>Acknowledgements (1 page)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_Toc205444860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iv</w:t>
            </w:r>
            <w:r w:rsidR="00324985" w:rsidRPr="003F3C2F">
              <w:rPr>
                <w:rFonts w:ascii="Times New Roman" w:hAnsi="Times New Roman"/>
                <w:noProof/>
                <w:webHidden/>
              </w:rPr>
              <w:fldChar w:fldCharType="end"/>
            </w:r>
          </w:hyperlink>
        </w:p>
        <w:p w14:paraId="7A9833BB" w14:textId="519D6370" w:rsidR="00324985" w:rsidRPr="003F3C2F" w:rsidRDefault="00781F44">
          <w:pPr>
            <w:pStyle w:val="TOC1"/>
            <w:rPr>
              <w:rFonts w:ascii="Times New Roman" w:eastAsiaTheme="minorEastAsia" w:hAnsi="Times New Roman"/>
              <w:b w:val="0"/>
              <w:bCs w:val="0"/>
              <w:caps w:val="0"/>
              <w:noProof/>
              <w:kern w:val="2"/>
              <w:sz w:val="24"/>
              <w:szCs w:val="24"/>
              <w:lang w:eastAsia="en-US"/>
              <w14:ligatures w14:val="standardContextual"/>
            </w:rPr>
          </w:pPr>
          <w:hyperlink w:anchor="_Toc205444861" w:history="1">
            <w:r w:rsidR="00324985" w:rsidRPr="003F3C2F">
              <w:rPr>
                <w:rStyle w:val="Hyperlink"/>
                <w:rFonts w:ascii="Times New Roman" w:hAnsi="Times New Roman"/>
                <w:noProof/>
              </w:rPr>
              <w:t>Executive Summary  (2-3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_Toc205444861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v</w:t>
            </w:r>
            <w:r w:rsidR="00324985" w:rsidRPr="003F3C2F">
              <w:rPr>
                <w:rFonts w:ascii="Times New Roman" w:hAnsi="Times New Roman"/>
                <w:noProof/>
                <w:webHidden/>
              </w:rPr>
              <w:fldChar w:fldCharType="end"/>
            </w:r>
          </w:hyperlink>
        </w:p>
        <w:p w14:paraId="3C0597B4" w14:textId="7E726386"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862" w:history="1">
            <w:r w:rsidR="00324985" w:rsidRPr="003F3C2F">
              <w:rPr>
                <w:rStyle w:val="Hyperlink"/>
                <w:rFonts w:ascii="Times New Roman" w:hAnsi="Times New Roman"/>
                <w:noProof/>
              </w:rPr>
              <w:t>1.</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INTRODUCTION (6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_Toc205444862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8</w:t>
            </w:r>
            <w:r w:rsidR="00324985" w:rsidRPr="003F3C2F">
              <w:rPr>
                <w:rFonts w:ascii="Times New Roman" w:hAnsi="Times New Roman"/>
                <w:noProof/>
                <w:webHidden/>
              </w:rPr>
              <w:fldChar w:fldCharType="end"/>
            </w:r>
          </w:hyperlink>
        </w:p>
        <w:p w14:paraId="3D999727" w14:textId="74265078"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63" w:history="1">
            <w:r w:rsidR="00324985" w:rsidRPr="003F3C2F">
              <w:rPr>
                <w:rStyle w:val="Hyperlink"/>
                <w:rFonts w:ascii="Times New Roman" w:hAnsi="Times New Roman"/>
                <w:bCs/>
                <w:noProof/>
              </w:rPr>
              <w:t>1.1.</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Background</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_Toc205444863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8</w:t>
            </w:r>
            <w:r w:rsidR="00324985" w:rsidRPr="003F3C2F">
              <w:rPr>
                <w:rFonts w:ascii="Times New Roman" w:hAnsi="Times New Roman"/>
                <w:noProof/>
                <w:webHidden/>
              </w:rPr>
              <w:fldChar w:fldCharType="end"/>
            </w:r>
          </w:hyperlink>
        </w:p>
        <w:p w14:paraId="484886F0" w14:textId="3A65FC30"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64" w:history="1">
            <w:r w:rsidR="00324985" w:rsidRPr="003F3C2F">
              <w:rPr>
                <w:rStyle w:val="Hyperlink"/>
                <w:rFonts w:ascii="Times New Roman" w:hAnsi="Times New Roman"/>
                <w:bCs/>
                <w:noProof/>
              </w:rPr>
              <w:t>1.2.</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National Circumstances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_Toc205444864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9</w:t>
            </w:r>
            <w:r w:rsidR="00324985" w:rsidRPr="003F3C2F">
              <w:rPr>
                <w:rFonts w:ascii="Times New Roman" w:hAnsi="Times New Roman"/>
                <w:noProof/>
                <w:webHidden/>
              </w:rPr>
              <w:fldChar w:fldCharType="end"/>
            </w:r>
          </w:hyperlink>
        </w:p>
        <w:p w14:paraId="216D81E0" w14:textId="1151B0CD"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65" w:history="1">
            <w:r w:rsidR="00324985" w:rsidRPr="003F3C2F">
              <w:rPr>
                <w:rStyle w:val="Hyperlink"/>
                <w:rFonts w:ascii="Times New Roman" w:hAnsi="Times New Roman"/>
                <w:noProof/>
              </w:rPr>
              <w:t>1.2.1.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Geography</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_Toc205444865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9</w:t>
            </w:r>
            <w:r w:rsidR="00324985" w:rsidRPr="003F3C2F">
              <w:rPr>
                <w:rFonts w:ascii="Times New Roman" w:hAnsi="Times New Roman"/>
                <w:noProof/>
                <w:webHidden/>
              </w:rPr>
              <w:fldChar w:fldCharType="end"/>
            </w:r>
          </w:hyperlink>
        </w:p>
        <w:p w14:paraId="011C3C4E" w14:textId="2306554C"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66" w:history="1">
            <w:r w:rsidR="00324985" w:rsidRPr="003F3C2F">
              <w:rPr>
                <w:rStyle w:val="Hyperlink"/>
                <w:rFonts w:ascii="Times New Roman" w:hAnsi="Times New Roman"/>
                <w:noProof/>
              </w:rPr>
              <w:t>1.2.2.</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Demography</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_Toc205444866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9</w:t>
            </w:r>
            <w:r w:rsidR="00324985" w:rsidRPr="003F3C2F">
              <w:rPr>
                <w:rFonts w:ascii="Times New Roman" w:hAnsi="Times New Roman"/>
                <w:noProof/>
                <w:webHidden/>
              </w:rPr>
              <w:fldChar w:fldCharType="end"/>
            </w:r>
          </w:hyperlink>
        </w:p>
        <w:p w14:paraId="33422C37" w14:textId="214CCF21"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67" w:history="1">
            <w:r w:rsidR="00324985" w:rsidRPr="003F3C2F">
              <w:rPr>
                <w:rStyle w:val="Hyperlink"/>
                <w:rFonts w:ascii="Times New Roman" w:hAnsi="Times New Roman"/>
                <w:noProof/>
              </w:rPr>
              <w:t>1.2.3.</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Economy</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_Toc205444867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10</w:t>
            </w:r>
            <w:r w:rsidR="00324985" w:rsidRPr="003F3C2F">
              <w:rPr>
                <w:rFonts w:ascii="Times New Roman" w:hAnsi="Times New Roman"/>
                <w:noProof/>
                <w:webHidden/>
              </w:rPr>
              <w:fldChar w:fldCharType="end"/>
            </w:r>
          </w:hyperlink>
        </w:p>
        <w:p w14:paraId="0CA71672" w14:textId="5A04A074"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68" w:history="1">
            <w:r w:rsidR="00324985" w:rsidRPr="003F3C2F">
              <w:rPr>
                <w:rStyle w:val="Hyperlink"/>
                <w:rFonts w:ascii="Times New Roman" w:hAnsi="Times New Roman"/>
                <w:noProof/>
              </w:rPr>
              <w:t>1.2.4.</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Socio-economic Development Context</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_Toc205444868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10</w:t>
            </w:r>
            <w:r w:rsidR="00324985" w:rsidRPr="003F3C2F">
              <w:rPr>
                <w:rFonts w:ascii="Times New Roman" w:hAnsi="Times New Roman"/>
                <w:noProof/>
                <w:webHidden/>
              </w:rPr>
              <w:fldChar w:fldCharType="end"/>
            </w:r>
          </w:hyperlink>
        </w:p>
        <w:p w14:paraId="0114D7F1" w14:textId="6B49AB7D"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69" w:history="1">
            <w:r w:rsidR="00324985" w:rsidRPr="003F3C2F">
              <w:rPr>
                <w:rStyle w:val="Hyperlink"/>
                <w:rFonts w:ascii="Times New Roman" w:hAnsi="Times New Roman"/>
                <w:noProof/>
              </w:rPr>
              <w:t>1.2.5.</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Climate Profile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_Toc205444869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11</w:t>
            </w:r>
            <w:r w:rsidR="00324985" w:rsidRPr="003F3C2F">
              <w:rPr>
                <w:rFonts w:ascii="Times New Roman" w:hAnsi="Times New Roman"/>
                <w:noProof/>
                <w:webHidden/>
              </w:rPr>
              <w:fldChar w:fldCharType="end"/>
            </w:r>
          </w:hyperlink>
        </w:p>
        <w:p w14:paraId="17ACDD15" w14:textId="5EFC9C5E"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0" w:history="1">
            <w:r w:rsidR="00324985" w:rsidRPr="003F3C2F">
              <w:rPr>
                <w:rStyle w:val="Hyperlink"/>
                <w:rFonts w:ascii="Times New Roman" w:hAnsi="Times New Roman"/>
                <w:noProof/>
              </w:rPr>
              <w:t>1.2.6.</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Contribution to Global GHG Emissions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_Toc205444870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12</w:t>
            </w:r>
            <w:r w:rsidR="00324985" w:rsidRPr="003F3C2F">
              <w:rPr>
                <w:rFonts w:ascii="Times New Roman" w:hAnsi="Times New Roman"/>
                <w:noProof/>
                <w:webHidden/>
              </w:rPr>
              <w:fldChar w:fldCharType="end"/>
            </w:r>
          </w:hyperlink>
        </w:p>
        <w:p w14:paraId="5DAA2404" w14:textId="6F72F6FA"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71" w:history="1">
            <w:r w:rsidR="00324985" w:rsidRPr="003F3C2F">
              <w:rPr>
                <w:rStyle w:val="Hyperlink"/>
                <w:rFonts w:ascii="Times New Roman" w:hAnsi="Times New Roman"/>
                <w:bCs/>
                <w:noProof/>
              </w:rPr>
              <w:t>1.3.</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Policy, Legal and Institutional Frameworks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_Toc205444871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13</w:t>
            </w:r>
            <w:r w:rsidR="00324985" w:rsidRPr="003F3C2F">
              <w:rPr>
                <w:rFonts w:ascii="Times New Roman" w:hAnsi="Times New Roman"/>
                <w:noProof/>
                <w:webHidden/>
              </w:rPr>
              <w:fldChar w:fldCharType="end"/>
            </w:r>
          </w:hyperlink>
        </w:p>
        <w:p w14:paraId="63348FAF" w14:textId="65A8F072"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2" w:history="1">
            <w:r w:rsidR="00324985" w:rsidRPr="003F3C2F">
              <w:rPr>
                <w:rStyle w:val="Hyperlink"/>
                <w:rFonts w:ascii="Times New Roman" w:hAnsi="Times New Roman"/>
                <w:noProof/>
              </w:rPr>
              <w:t>1.3.1.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National Development Priorities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_Toc205444872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13</w:t>
            </w:r>
            <w:r w:rsidR="00324985" w:rsidRPr="003F3C2F">
              <w:rPr>
                <w:rFonts w:ascii="Times New Roman" w:hAnsi="Times New Roman"/>
                <w:noProof/>
                <w:webHidden/>
              </w:rPr>
              <w:fldChar w:fldCharType="end"/>
            </w:r>
          </w:hyperlink>
        </w:p>
        <w:p w14:paraId="72790B6E" w14:textId="014D71E7"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3" w:history="1">
            <w:r w:rsidR="00324985" w:rsidRPr="003F3C2F">
              <w:rPr>
                <w:rStyle w:val="Hyperlink"/>
                <w:rFonts w:ascii="Times New Roman" w:hAnsi="Times New Roman"/>
                <w:noProof/>
              </w:rPr>
              <w:t>1.3.2.</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Policy and Legal Frameworks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_Toc205444873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14</w:t>
            </w:r>
            <w:r w:rsidR="00324985" w:rsidRPr="003F3C2F">
              <w:rPr>
                <w:rFonts w:ascii="Times New Roman" w:hAnsi="Times New Roman"/>
                <w:noProof/>
                <w:webHidden/>
              </w:rPr>
              <w:fldChar w:fldCharType="end"/>
            </w:r>
          </w:hyperlink>
        </w:p>
        <w:p w14:paraId="28B87984" w14:textId="00A1907C"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4" w:history="1">
            <w:r w:rsidR="00324985" w:rsidRPr="003F3C2F">
              <w:rPr>
                <w:rStyle w:val="Hyperlink"/>
                <w:rFonts w:ascii="Times New Roman" w:hAnsi="Times New Roman"/>
                <w:noProof/>
              </w:rPr>
              <w:t>1.3.3.</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Institutional Framework</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_Toc205444874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16</w:t>
            </w:r>
            <w:r w:rsidR="00324985" w:rsidRPr="003F3C2F">
              <w:rPr>
                <w:rFonts w:ascii="Times New Roman" w:hAnsi="Times New Roman"/>
                <w:noProof/>
                <w:webHidden/>
              </w:rPr>
              <w:fldChar w:fldCharType="end"/>
            </w:r>
          </w:hyperlink>
        </w:p>
        <w:p w14:paraId="481A8ED9" w14:textId="4E5FA50D"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875" w:history="1">
            <w:r w:rsidR="00324985" w:rsidRPr="003F3C2F">
              <w:rPr>
                <w:rStyle w:val="Hyperlink"/>
                <w:rFonts w:ascii="Times New Roman" w:hAnsi="Times New Roman"/>
                <w:noProof/>
              </w:rPr>
              <w:t>2.</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NDC 3.0 PROCESS (2-3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_Toc205444875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17</w:t>
            </w:r>
            <w:r w:rsidR="00324985" w:rsidRPr="003F3C2F">
              <w:rPr>
                <w:rFonts w:ascii="Times New Roman" w:hAnsi="Times New Roman"/>
                <w:noProof/>
                <w:webHidden/>
              </w:rPr>
              <w:fldChar w:fldCharType="end"/>
            </w:r>
          </w:hyperlink>
        </w:p>
        <w:p w14:paraId="3DE70920" w14:textId="60A326C7"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76" w:history="1">
            <w:r w:rsidR="00324985" w:rsidRPr="003F3C2F">
              <w:rPr>
                <w:rStyle w:val="Hyperlink"/>
                <w:rFonts w:ascii="Times New Roman" w:hAnsi="Times New Roman"/>
                <w:bCs/>
                <w:noProof/>
              </w:rPr>
              <w:t>2.1.</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NDC 3.0 development</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_Toc205444876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17</w:t>
            </w:r>
            <w:r w:rsidR="00324985" w:rsidRPr="003F3C2F">
              <w:rPr>
                <w:rFonts w:ascii="Times New Roman" w:hAnsi="Times New Roman"/>
                <w:noProof/>
                <w:webHidden/>
              </w:rPr>
              <w:fldChar w:fldCharType="end"/>
            </w:r>
          </w:hyperlink>
        </w:p>
        <w:p w14:paraId="6355F8D9" w14:textId="0096CA1C"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77" w:history="1">
            <w:r w:rsidR="00324985" w:rsidRPr="003F3C2F">
              <w:rPr>
                <w:rStyle w:val="Hyperlink"/>
                <w:rFonts w:ascii="Times New Roman" w:hAnsi="Times New Roman"/>
                <w:bCs/>
                <w:noProof/>
              </w:rPr>
              <w:t>2.2.</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Stakeholder Consultation</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_Toc205444877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18</w:t>
            </w:r>
            <w:r w:rsidR="00324985" w:rsidRPr="003F3C2F">
              <w:rPr>
                <w:rFonts w:ascii="Times New Roman" w:hAnsi="Times New Roman"/>
                <w:noProof/>
                <w:webHidden/>
              </w:rPr>
              <w:fldChar w:fldCharType="end"/>
            </w:r>
          </w:hyperlink>
        </w:p>
        <w:p w14:paraId="74389012" w14:textId="6F101C88"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8" w:history="1">
            <w:r w:rsidR="00324985" w:rsidRPr="003F3C2F">
              <w:rPr>
                <w:rStyle w:val="Hyperlink"/>
                <w:rFonts w:ascii="Times New Roman" w:hAnsi="Times New Roman"/>
                <w:noProof/>
              </w:rPr>
              <w:t>2.2.1.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Technical and Regional Consultations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_Toc205444878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19</w:t>
            </w:r>
            <w:r w:rsidR="00324985" w:rsidRPr="003F3C2F">
              <w:rPr>
                <w:rFonts w:ascii="Times New Roman" w:hAnsi="Times New Roman"/>
                <w:noProof/>
                <w:webHidden/>
              </w:rPr>
              <w:fldChar w:fldCharType="end"/>
            </w:r>
          </w:hyperlink>
        </w:p>
        <w:p w14:paraId="38FBEA51" w14:textId="641B1C7A"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79" w:history="1">
            <w:r w:rsidR="00324985" w:rsidRPr="003F3C2F">
              <w:rPr>
                <w:rStyle w:val="Hyperlink"/>
                <w:rFonts w:ascii="Times New Roman" w:hAnsi="Times New Roman"/>
                <w:noProof/>
              </w:rPr>
              <w:t>2.2.2.</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Technical/Expert Group Workshops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_Toc205444879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20</w:t>
            </w:r>
            <w:r w:rsidR="00324985" w:rsidRPr="003F3C2F">
              <w:rPr>
                <w:rFonts w:ascii="Times New Roman" w:hAnsi="Times New Roman"/>
                <w:noProof/>
                <w:webHidden/>
              </w:rPr>
              <w:fldChar w:fldCharType="end"/>
            </w:r>
          </w:hyperlink>
        </w:p>
        <w:p w14:paraId="3358EEEE" w14:textId="17FB4EB2"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0" w:history="1">
            <w:r w:rsidR="00324985" w:rsidRPr="003F3C2F">
              <w:rPr>
                <w:rStyle w:val="Hyperlink"/>
                <w:rFonts w:ascii="Times New Roman" w:hAnsi="Times New Roman"/>
                <w:noProof/>
              </w:rPr>
              <w:t>2.2.3.</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Children, Youth Gender Dialogue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_Toc205444880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20</w:t>
            </w:r>
            <w:r w:rsidR="00324985" w:rsidRPr="003F3C2F">
              <w:rPr>
                <w:rFonts w:ascii="Times New Roman" w:hAnsi="Times New Roman"/>
                <w:noProof/>
                <w:webHidden/>
              </w:rPr>
              <w:fldChar w:fldCharType="end"/>
            </w:r>
          </w:hyperlink>
        </w:p>
        <w:p w14:paraId="75D30191" w14:textId="6089091C"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1" w:history="1">
            <w:r w:rsidR="00324985" w:rsidRPr="003F3C2F">
              <w:rPr>
                <w:rStyle w:val="Hyperlink"/>
                <w:rFonts w:ascii="Times New Roman" w:hAnsi="Times New Roman"/>
                <w:noProof/>
                <w:highlight w:val="yellow"/>
              </w:rPr>
              <w:t>2.2.4.</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highlight w:val="yellow"/>
              </w:rPr>
              <w:t>Private Sector and CSO Dialogue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_Toc205444881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21</w:t>
            </w:r>
            <w:r w:rsidR="00324985" w:rsidRPr="003F3C2F">
              <w:rPr>
                <w:rFonts w:ascii="Times New Roman" w:hAnsi="Times New Roman"/>
                <w:noProof/>
                <w:webHidden/>
              </w:rPr>
              <w:fldChar w:fldCharType="end"/>
            </w:r>
          </w:hyperlink>
        </w:p>
        <w:p w14:paraId="3AF0011A" w14:textId="281B1C8E"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2" w:history="1">
            <w:r w:rsidR="00324985" w:rsidRPr="003F3C2F">
              <w:rPr>
                <w:rStyle w:val="Hyperlink"/>
                <w:rFonts w:ascii="Times New Roman" w:hAnsi="Times New Roman"/>
                <w:noProof/>
                <w:highlight w:val="yellow"/>
              </w:rPr>
              <w:t>2.2.5.</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highlight w:val="yellow"/>
              </w:rPr>
              <w:t>Regional Review and Validation of Liberia’s NDC</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_Toc205444882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21</w:t>
            </w:r>
            <w:r w:rsidR="00324985" w:rsidRPr="003F3C2F">
              <w:rPr>
                <w:rFonts w:ascii="Times New Roman" w:hAnsi="Times New Roman"/>
                <w:noProof/>
                <w:webHidden/>
              </w:rPr>
              <w:fldChar w:fldCharType="end"/>
            </w:r>
          </w:hyperlink>
        </w:p>
        <w:p w14:paraId="24670BCD" w14:textId="68C089E9"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883" w:history="1">
            <w:r w:rsidR="00324985" w:rsidRPr="003F3C2F">
              <w:rPr>
                <w:rStyle w:val="Hyperlink"/>
                <w:rFonts w:ascii="Times New Roman" w:hAnsi="Times New Roman"/>
                <w:noProof/>
              </w:rPr>
              <w:t>3.</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CONTRIBUTIONS  (10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_Toc205444883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21</w:t>
            </w:r>
            <w:r w:rsidR="00324985" w:rsidRPr="003F3C2F">
              <w:rPr>
                <w:rFonts w:ascii="Times New Roman" w:hAnsi="Times New Roman"/>
                <w:noProof/>
                <w:webHidden/>
              </w:rPr>
              <w:fldChar w:fldCharType="end"/>
            </w:r>
          </w:hyperlink>
        </w:p>
        <w:p w14:paraId="203C8AA5" w14:textId="31350571"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84" w:history="1">
            <w:r w:rsidR="00324985" w:rsidRPr="003F3C2F">
              <w:rPr>
                <w:rStyle w:val="Hyperlink"/>
                <w:rFonts w:ascii="Times New Roman" w:hAnsi="Times New Roman"/>
                <w:bCs/>
                <w:noProof/>
              </w:rPr>
              <w:t>3.1.</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Liberia NDC Implementation Achievements (2022-2024)</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_Toc205444884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21</w:t>
            </w:r>
            <w:r w:rsidR="00324985" w:rsidRPr="003F3C2F">
              <w:rPr>
                <w:rFonts w:ascii="Times New Roman" w:hAnsi="Times New Roman"/>
                <w:noProof/>
                <w:webHidden/>
              </w:rPr>
              <w:fldChar w:fldCharType="end"/>
            </w:r>
          </w:hyperlink>
        </w:p>
        <w:p w14:paraId="4D9FA73E" w14:textId="5E5C870A"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85" w:history="1">
            <w:r w:rsidR="00324985" w:rsidRPr="003F3C2F">
              <w:rPr>
                <w:rStyle w:val="Hyperlink"/>
                <w:rFonts w:ascii="Times New Roman" w:hAnsi="Times New Roman"/>
                <w:bCs/>
                <w:noProof/>
              </w:rPr>
              <w:t>3.2.</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Mitigation</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_Toc205444885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23</w:t>
            </w:r>
            <w:r w:rsidR="00324985" w:rsidRPr="003F3C2F">
              <w:rPr>
                <w:rFonts w:ascii="Times New Roman" w:hAnsi="Times New Roman"/>
                <w:noProof/>
                <w:webHidden/>
              </w:rPr>
              <w:fldChar w:fldCharType="end"/>
            </w:r>
          </w:hyperlink>
        </w:p>
        <w:p w14:paraId="00DFE46C" w14:textId="3282A91C"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6" w:history="1">
            <w:r w:rsidR="00324985" w:rsidRPr="003F3C2F">
              <w:rPr>
                <w:rStyle w:val="Hyperlink"/>
                <w:rFonts w:ascii="Times New Roman" w:hAnsi="Times New Roman"/>
                <w:noProof/>
              </w:rPr>
              <w:t>3.2.1.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Mitigation Targets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_Toc205444886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23</w:t>
            </w:r>
            <w:r w:rsidR="00324985" w:rsidRPr="003F3C2F">
              <w:rPr>
                <w:rFonts w:ascii="Times New Roman" w:hAnsi="Times New Roman"/>
                <w:noProof/>
                <w:webHidden/>
              </w:rPr>
              <w:fldChar w:fldCharType="end"/>
            </w:r>
          </w:hyperlink>
        </w:p>
        <w:p w14:paraId="284AB01E" w14:textId="2C4BA9D1"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87" w:history="1">
            <w:r w:rsidR="00324985" w:rsidRPr="003F3C2F">
              <w:rPr>
                <w:rStyle w:val="Hyperlink"/>
                <w:rFonts w:ascii="Times New Roman" w:hAnsi="Times New Roman"/>
                <w:bCs/>
                <w:noProof/>
              </w:rPr>
              <w:t>3.3.</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Adaptation</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_Toc205444887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32</w:t>
            </w:r>
            <w:r w:rsidR="00324985" w:rsidRPr="003F3C2F">
              <w:rPr>
                <w:rFonts w:ascii="Times New Roman" w:hAnsi="Times New Roman"/>
                <w:noProof/>
                <w:webHidden/>
              </w:rPr>
              <w:fldChar w:fldCharType="end"/>
            </w:r>
          </w:hyperlink>
        </w:p>
        <w:p w14:paraId="5453412C" w14:textId="429682F2"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8" w:history="1">
            <w:r w:rsidR="00324985" w:rsidRPr="003F3C2F">
              <w:rPr>
                <w:rStyle w:val="Hyperlink"/>
                <w:rFonts w:ascii="Times New Roman" w:hAnsi="Times New Roman"/>
                <w:noProof/>
              </w:rPr>
              <w:t>3.3.1.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Adaptation Targets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_Toc205444888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32</w:t>
            </w:r>
            <w:r w:rsidR="00324985" w:rsidRPr="003F3C2F">
              <w:rPr>
                <w:rFonts w:ascii="Times New Roman" w:hAnsi="Times New Roman"/>
                <w:noProof/>
                <w:webHidden/>
              </w:rPr>
              <w:fldChar w:fldCharType="end"/>
            </w:r>
          </w:hyperlink>
        </w:p>
        <w:p w14:paraId="18F804E6" w14:textId="28C62C30"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89" w:history="1">
            <w:r w:rsidR="00324985" w:rsidRPr="003F3C2F">
              <w:rPr>
                <w:rStyle w:val="Hyperlink"/>
                <w:rFonts w:ascii="Times New Roman" w:hAnsi="Times New Roman"/>
                <w:noProof/>
              </w:rPr>
              <w:t>3.3.2.</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Adaptation Actions and Policy Measures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_Toc205444889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35</w:t>
            </w:r>
            <w:r w:rsidR="00324985" w:rsidRPr="003F3C2F">
              <w:rPr>
                <w:rFonts w:ascii="Times New Roman" w:hAnsi="Times New Roman"/>
                <w:noProof/>
                <w:webHidden/>
              </w:rPr>
              <w:fldChar w:fldCharType="end"/>
            </w:r>
          </w:hyperlink>
        </w:p>
        <w:p w14:paraId="7DE0A77E" w14:textId="0BEBBBF5"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0" w:history="1">
            <w:r w:rsidR="00324985" w:rsidRPr="003F3C2F">
              <w:rPr>
                <w:rStyle w:val="Hyperlink"/>
                <w:rFonts w:ascii="Times New Roman" w:hAnsi="Times New Roman"/>
                <w:bCs/>
                <w:noProof/>
              </w:rPr>
              <w:t>3.4.</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Cross-cutting Areas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_Toc205444890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39</w:t>
            </w:r>
            <w:r w:rsidR="00324985" w:rsidRPr="003F3C2F">
              <w:rPr>
                <w:rFonts w:ascii="Times New Roman" w:hAnsi="Times New Roman"/>
                <w:noProof/>
                <w:webHidden/>
              </w:rPr>
              <w:fldChar w:fldCharType="end"/>
            </w:r>
          </w:hyperlink>
        </w:p>
        <w:p w14:paraId="2E8698F7" w14:textId="3E43BAB7"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91" w:history="1">
            <w:r w:rsidR="00324985" w:rsidRPr="003F3C2F">
              <w:rPr>
                <w:rStyle w:val="Hyperlink"/>
                <w:rFonts w:ascii="Times New Roman" w:hAnsi="Times New Roman"/>
                <w:noProof/>
              </w:rPr>
              <w:t>3.4.1.</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 xml:space="preserve">Gender </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_Toc205444891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39</w:t>
            </w:r>
            <w:r w:rsidR="00324985" w:rsidRPr="003F3C2F">
              <w:rPr>
                <w:rFonts w:ascii="Times New Roman" w:hAnsi="Times New Roman"/>
                <w:noProof/>
                <w:webHidden/>
              </w:rPr>
              <w:fldChar w:fldCharType="end"/>
            </w:r>
          </w:hyperlink>
        </w:p>
        <w:p w14:paraId="7CA70FDF" w14:textId="1BCE9CC6"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92" w:history="1">
            <w:r w:rsidR="00324985" w:rsidRPr="003F3C2F">
              <w:rPr>
                <w:rStyle w:val="Hyperlink"/>
                <w:rFonts w:ascii="Times New Roman" w:hAnsi="Times New Roman"/>
                <w:noProof/>
              </w:rPr>
              <w:t>3.4.2.</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Youth</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_Toc205444892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39</w:t>
            </w:r>
            <w:r w:rsidR="00324985" w:rsidRPr="003F3C2F">
              <w:rPr>
                <w:rFonts w:ascii="Times New Roman" w:hAnsi="Times New Roman"/>
                <w:noProof/>
                <w:webHidden/>
              </w:rPr>
              <w:fldChar w:fldCharType="end"/>
            </w:r>
          </w:hyperlink>
        </w:p>
        <w:p w14:paraId="3018DD8A" w14:textId="0A26F69B" w:rsidR="00324985" w:rsidRPr="003F3C2F" w:rsidRDefault="00781F44">
          <w:pPr>
            <w:pStyle w:val="TOC3"/>
            <w:tabs>
              <w:tab w:val="left" w:pos="1200"/>
              <w:tab w:val="right" w:leader="dot" w:pos="9016"/>
            </w:tabs>
            <w:rPr>
              <w:rFonts w:ascii="Times New Roman" w:eastAsiaTheme="minorEastAsia" w:hAnsi="Times New Roman"/>
              <w:i w:val="0"/>
              <w:iCs w:val="0"/>
              <w:noProof/>
              <w:kern w:val="2"/>
              <w:sz w:val="24"/>
              <w:szCs w:val="24"/>
              <w:lang w:eastAsia="en-US"/>
              <w14:ligatures w14:val="standardContextual"/>
            </w:rPr>
          </w:pPr>
          <w:hyperlink w:anchor="_Toc205444893" w:history="1">
            <w:r w:rsidR="00324985" w:rsidRPr="003F3C2F">
              <w:rPr>
                <w:rStyle w:val="Hyperlink"/>
                <w:rFonts w:ascii="Times New Roman" w:hAnsi="Times New Roman"/>
                <w:noProof/>
              </w:rPr>
              <w:t>3.4.3.</w:t>
            </w:r>
            <w:r w:rsidR="00324985" w:rsidRPr="003F3C2F">
              <w:rPr>
                <w:rFonts w:ascii="Times New Roman" w:eastAsiaTheme="minorEastAsia" w:hAnsi="Times New Roman"/>
                <w:i w:val="0"/>
                <w:iCs w:val="0"/>
                <w:noProof/>
                <w:kern w:val="2"/>
                <w:sz w:val="24"/>
                <w:szCs w:val="24"/>
                <w:lang w:eastAsia="en-US"/>
                <w14:ligatures w14:val="standardContextual"/>
              </w:rPr>
              <w:tab/>
            </w:r>
            <w:r w:rsidR="00324985" w:rsidRPr="003F3C2F">
              <w:rPr>
                <w:rStyle w:val="Hyperlink"/>
                <w:rFonts w:ascii="Times New Roman" w:hAnsi="Times New Roman"/>
                <w:noProof/>
              </w:rPr>
              <w:t>Children</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_Toc205444893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39</w:t>
            </w:r>
            <w:r w:rsidR="00324985" w:rsidRPr="003F3C2F">
              <w:rPr>
                <w:rFonts w:ascii="Times New Roman" w:hAnsi="Times New Roman"/>
                <w:noProof/>
                <w:webHidden/>
              </w:rPr>
              <w:fldChar w:fldCharType="end"/>
            </w:r>
          </w:hyperlink>
        </w:p>
        <w:p w14:paraId="44F7D6D1" w14:textId="13FF9FA8"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4" w:history="1">
            <w:r w:rsidR="00324985" w:rsidRPr="003F3C2F">
              <w:rPr>
                <w:rStyle w:val="Hyperlink"/>
                <w:rFonts w:ascii="Times New Roman" w:hAnsi="Times New Roman"/>
                <w:bCs/>
                <w:noProof/>
              </w:rPr>
              <w:t>3.5.</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Fairness and Ambition of Liberia’s Contributions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_Toc205444894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40</w:t>
            </w:r>
            <w:r w:rsidR="00324985" w:rsidRPr="003F3C2F">
              <w:rPr>
                <w:rFonts w:ascii="Times New Roman" w:hAnsi="Times New Roman"/>
                <w:noProof/>
                <w:webHidden/>
              </w:rPr>
              <w:fldChar w:fldCharType="end"/>
            </w:r>
          </w:hyperlink>
        </w:p>
        <w:p w14:paraId="72F8E80A" w14:textId="281097AC"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5" w:history="1">
            <w:r w:rsidR="00324985" w:rsidRPr="003F3C2F">
              <w:rPr>
                <w:rStyle w:val="Hyperlink"/>
                <w:rFonts w:ascii="Times New Roman" w:hAnsi="Times New Roman"/>
                <w:bCs/>
                <w:noProof/>
              </w:rPr>
              <w:t>3.6.</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Alignment to international conventions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_Toc205444895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41</w:t>
            </w:r>
            <w:r w:rsidR="00324985" w:rsidRPr="003F3C2F">
              <w:rPr>
                <w:rFonts w:ascii="Times New Roman" w:hAnsi="Times New Roman"/>
                <w:noProof/>
                <w:webHidden/>
              </w:rPr>
              <w:fldChar w:fldCharType="end"/>
            </w:r>
          </w:hyperlink>
        </w:p>
        <w:p w14:paraId="51EAB8D9" w14:textId="0D13227D"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896" w:history="1">
            <w:r w:rsidR="00324985" w:rsidRPr="003F3C2F">
              <w:rPr>
                <w:rStyle w:val="Hyperlink"/>
                <w:rFonts w:ascii="Times New Roman" w:hAnsi="Times New Roman"/>
                <w:noProof/>
              </w:rPr>
              <w:t>4.</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MEANS OF IMPLEMENTATION (max 2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_Toc205444896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42</w:t>
            </w:r>
            <w:r w:rsidR="00324985" w:rsidRPr="003F3C2F">
              <w:rPr>
                <w:rFonts w:ascii="Times New Roman" w:hAnsi="Times New Roman"/>
                <w:noProof/>
                <w:webHidden/>
              </w:rPr>
              <w:fldChar w:fldCharType="end"/>
            </w:r>
          </w:hyperlink>
        </w:p>
        <w:p w14:paraId="34C2485B" w14:textId="636C2E5B"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7" w:history="1">
            <w:r w:rsidR="00324985" w:rsidRPr="003F3C2F">
              <w:rPr>
                <w:rStyle w:val="Hyperlink"/>
                <w:rFonts w:ascii="Times New Roman" w:hAnsi="Times New Roman"/>
                <w:bCs/>
                <w:noProof/>
              </w:rPr>
              <w:t>4.1.</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Finance</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_Toc205444897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42</w:t>
            </w:r>
            <w:r w:rsidR="00324985" w:rsidRPr="003F3C2F">
              <w:rPr>
                <w:rFonts w:ascii="Times New Roman" w:hAnsi="Times New Roman"/>
                <w:noProof/>
                <w:webHidden/>
              </w:rPr>
              <w:fldChar w:fldCharType="end"/>
            </w:r>
          </w:hyperlink>
        </w:p>
        <w:p w14:paraId="1C5E97A3" w14:textId="272FB8C6"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8" w:history="1">
            <w:r w:rsidR="00324985" w:rsidRPr="003F3C2F">
              <w:rPr>
                <w:rStyle w:val="Hyperlink"/>
                <w:rFonts w:ascii="Times New Roman" w:hAnsi="Times New Roman"/>
                <w:bCs/>
                <w:noProof/>
              </w:rPr>
              <w:t>4.2.</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Technology Development and Transfers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_Toc205444898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42</w:t>
            </w:r>
            <w:r w:rsidR="00324985" w:rsidRPr="003F3C2F">
              <w:rPr>
                <w:rFonts w:ascii="Times New Roman" w:hAnsi="Times New Roman"/>
                <w:noProof/>
                <w:webHidden/>
              </w:rPr>
              <w:fldChar w:fldCharType="end"/>
            </w:r>
          </w:hyperlink>
        </w:p>
        <w:p w14:paraId="73EC141D" w14:textId="0D6885BF" w:rsidR="00324985" w:rsidRPr="003F3C2F" w:rsidRDefault="00781F44">
          <w:pPr>
            <w:pStyle w:val="TOC2"/>
            <w:tabs>
              <w:tab w:val="left" w:pos="800"/>
              <w:tab w:val="right" w:leader="dot" w:pos="9016"/>
            </w:tabs>
            <w:rPr>
              <w:rFonts w:ascii="Times New Roman" w:eastAsiaTheme="minorEastAsia" w:hAnsi="Times New Roman"/>
              <w:smallCaps w:val="0"/>
              <w:noProof/>
              <w:kern w:val="2"/>
              <w:sz w:val="24"/>
              <w:szCs w:val="24"/>
              <w:lang w:eastAsia="en-US"/>
              <w14:ligatures w14:val="standardContextual"/>
            </w:rPr>
          </w:pPr>
          <w:hyperlink w:anchor="_Toc205444899" w:history="1">
            <w:r w:rsidR="00324985" w:rsidRPr="003F3C2F">
              <w:rPr>
                <w:rStyle w:val="Hyperlink"/>
                <w:rFonts w:ascii="Times New Roman" w:hAnsi="Times New Roman"/>
                <w:bCs/>
                <w:noProof/>
              </w:rPr>
              <w:t>4.3.</w:t>
            </w:r>
            <w:r w:rsidR="00324985" w:rsidRPr="003F3C2F">
              <w:rPr>
                <w:rFonts w:ascii="Times New Roman" w:eastAsiaTheme="minorEastAsia" w:hAnsi="Times New Roman"/>
                <w:smallCaps w:val="0"/>
                <w:noProof/>
                <w:kern w:val="2"/>
                <w:sz w:val="24"/>
                <w:szCs w:val="24"/>
                <w:lang w:eastAsia="en-US"/>
                <w14:ligatures w14:val="standardContextual"/>
              </w:rPr>
              <w:tab/>
            </w:r>
            <w:r w:rsidR="00324985" w:rsidRPr="003F3C2F">
              <w:rPr>
                <w:rStyle w:val="Hyperlink"/>
                <w:rFonts w:ascii="Times New Roman" w:hAnsi="Times New Roman"/>
                <w:noProof/>
              </w:rPr>
              <w:t>Capacity Building</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_Toc205444899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42</w:t>
            </w:r>
            <w:r w:rsidR="00324985" w:rsidRPr="003F3C2F">
              <w:rPr>
                <w:rFonts w:ascii="Times New Roman" w:hAnsi="Times New Roman"/>
                <w:noProof/>
                <w:webHidden/>
              </w:rPr>
              <w:fldChar w:fldCharType="end"/>
            </w:r>
          </w:hyperlink>
        </w:p>
        <w:p w14:paraId="42CC9CD0" w14:textId="086D1DA6"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900" w:history="1">
            <w:r w:rsidR="00324985" w:rsidRPr="003F3C2F">
              <w:rPr>
                <w:rStyle w:val="Hyperlink"/>
                <w:rFonts w:ascii="Times New Roman" w:hAnsi="Times New Roman"/>
                <w:noProof/>
              </w:rPr>
              <w:t>5.</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MONITORING, REPORTING AND VERIFICATION (MRV) (max  2 pages)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_Toc205444900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43</w:t>
            </w:r>
            <w:r w:rsidR="00324985" w:rsidRPr="003F3C2F">
              <w:rPr>
                <w:rFonts w:ascii="Times New Roman" w:hAnsi="Times New Roman"/>
                <w:noProof/>
                <w:webHidden/>
              </w:rPr>
              <w:fldChar w:fldCharType="end"/>
            </w:r>
          </w:hyperlink>
        </w:p>
        <w:p w14:paraId="3EA8B034" w14:textId="5C2DA584"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901" w:history="1">
            <w:r w:rsidR="00324985" w:rsidRPr="003F3C2F">
              <w:rPr>
                <w:rStyle w:val="Hyperlink"/>
                <w:rFonts w:ascii="Times New Roman" w:hAnsi="Times New Roman"/>
                <w:noProof/>
              </w:rPr>
              <w:t>6.</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INFORMATION TO FACILITATE CLARITY, TRANSPARENCY AND UNDERSTANDING (ICTU) OF THE NDC 3.0</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_Toc205444901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43</w:t>
            </w:r>
            <w:r w:rsidR="00324985" w:rsidRPr="003F3C2F">
              <w:rPr>
                <w:rFonts w:ascii="Times New Roman" w:hAnsi="Times New Roman"/>
                <w:noProof/>
                <w:webHidden/>
              </w:rPr>
              <w:fldChar w:fldCharType="end"/>
            </w:r>
          </w:hyperlink>
        </w:p>
        <w:p w14:paraId="687C9028" w14:textId="7BB5C5DD"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902" w:history="1">
            <w:r w:rsidR="00324985" w:rsidRPr="003F3C2F">
              <w:rPr>
                <w:rStyle w:val="Hyperlink"/>
                <w:rFonts w:ascii="Times New Roman" w:hAnsi="Times New Roman"/>
                <w:noProof/>
              </w:rPr>
              <w:t>7.</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TECHNICAL ANNEXURES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_Toc205444902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50</w:t>
            </w:r>
            <w:r w:rsidR="00324985" w:rsidRPr="003F3C2F">
              <w:rPr>
                <w:rFonts w:ascii="Times New Roman" w:hAnsi="Times New Roman"/>
                <w:noProof/>
                <w:webHidden/>
              </w:rPr>
              <w:fldChar w:fldCharType="end"/>
            </w:r>
          </w:hyperlink>
        </w:p>
        <w:p w14:paraId="0DB3437F" w14:textId="20C27413" w:rsidR="00324985" w:rsidRPr="003F3C2F" w:rsidRDefault="00781F44">
          <w:pPr>
            <w:pStyle w:val="TOC1"/>
            <w:tabs>
              <w:tab w:val="left" w:pos="400"/>
            </w:tabs>
            <w:rPr>
              <w:rFonts w:ascii="Times New Roman" w:eastAsiaTheme="minorEastAsia" w:hAnsi="Times New Roman"/>
              <w:b w:val="0"/>
              <w:bCs w:val="0"/>
              <w:caps w:val="0"/>
              <w:noProof/>
              <w:kern w:val="2"/>
              <w:sz w:val="24"/>
              <w:szCs w:val="24"/>
              <w:lang w:eastAsia="en-US"/>
              <w14:ligatures w14:val="standardContextual"/>
            </w:rPr>
          </w:pPr>
          <w:hyperlink w:anchor="_Toc205444903" w:history="1">
            <w:r w:rsidR="00324985" w:rsidRPr="003F3C2F">
              <w:rPr>
                <w:rStyle w:val="Hyperlink"/>
                <w:rFonts w:ascii="Times New Roman" w:hAnsi="Times New Roman"/>
                <w:noProof/>
              </w:rPr>
              <w:t>8.</w:t>
            </w:r>
            <w:r w:rsidR="00324985" w:rsidRPr="003F3C2F">
              <w:rPr>
                <w:rFonts w:ascii="Times New Roman" w:eastAsiaTheme="minorEastAsia" w:hAnsi="Times New Roman"/>
                <w:b w:val="0"/>
                <w:bCs w:val="0"/>
                <w:caps w:val="0"/>
                <w:noProof/>
                <w:kern w:val="2"/>
                <w:sz w:val="24"/>
                <w:szCs w:val="24"/>
                <w:lang w:eastAsia="en-US"/>
                <w14:ligatures w14:val="standardContextual"/>
              </w:rPr>
              <w:tab/>
            </w:r>
            <w:r w:rsidR="00324985" w:rsidRPr="003F3C2F">
              <w:rPr>
                <w:rStyle w:val="Hyperlink"/>
                <w:rFonts w:ascii="Times New Roman" w:hAnsi="Times New Roman"/>
                <w:noProof/>
              </w:rPr>
              <w:t>References</w:t>
            </w:r>
            <w:r w:rsidR="00324985" w:rsidRPr="003F3C2F">
              <w:rPr>
                <w:rFonts w:ascii="Times New Roman" w:hAnsi="Times New Roman"/>
                <w:noProof/>
                <w:webHidden/>
              </w:rPr>
              <w:tab/>
            </w:r>
            <w:r w:rsidR="00324985" w:rsidRPr="003F3C2F">
              <w:rPr>
                <w:rFonts w:ascii="Times New Roman" w:hAnsi="Times New Roman"/>
                <w:noProof/>
                <w:webHidden/>
              </w:rPr>
              <w:fldChar w:fldCharType="begin"/>
            </w:r>
            <w:r w:rsidR="00324985" w:rsidRPr="003F3C2F">
              <w:rPr>
                <w:rFonts w:ascii="Times New Roman" w:hAnsi="Times New Roman"/>
                <w:noProof/>
                <w:webHidden/>
              </w:rPr>
              <w:instrText xml:space="preserve"> PAGEREF _Toc205444903 \h </w:instrText>
            </w:r>
            <w:r w:rsidR="00324985" w:rsidRPr="003F3C2F">
              <w:rPr>
                <w:rFonts w:ascii="Times New Roman" w:hAnsi="Times New Roman"/>
                <w:noProof/>
                <w:webHidden/>
              </w:rPr>
            </w:r>
            <w:r w:rsidR="00324985" w:rsidRPr="003F3C2F">
              <w:rPr>
                <w:rFonts w:ascii="Times New Roman" w:hAnsi="Times New Roman"/>
                <w:noProof/>
                <w:webHidden/>
              </w:rPr>
              <w:fldChar w:fldCharType="separate"/>
            </w:r>
            <w:r w:rsidR="00324985" w:rsidRPr="003F3C2F">
              <w:rPr>
                <w:rFonts w:ascii="Times New Roman" w:hAnsi="Times New Roman"/>
                <w:noProof/>
                <w:webHidden/>
              </w:rPr>
              <w:t>50</w:t>
            </w:r>
            <w:r w:rsidR="00324985" w:rsidRPr="003F3C2F">
              <w:rPr>
                <w:rFonts w:ascii="Times New Roman" w:hAnsi="Times New Roman"/>
                <w:noProof/>
                <w:webHidden/>
              </w:rPr>
              <w:fldChar w:fldCharType="end"/>
            </w:r>
          </w:hyperlink>
        </w:p>
        <w:p w14:paraId="33A8531F" w14:textId="3131275E" w:rsidR="00FE4745" w:rsidRPr="003F3C2F" w:rsidRDefault="00FE4745" w:rsidP="00432A93">
          <w:pPr>
            <w:spacing w:before="240" w:after="240" w:line="276" w:lineRule="auto"/>
          </w:pPr>
          <w:r w:rsidRPr="003F3C2F">
            <w:rPr>
              <w:b/>
              <w:bCs/>
              <w:noProof/>
            </w:rPr>
            <w:fldChar w:fldCharType="end"/>
          </w:r>
        </w:p>
      </w:sdtContent>
    </w:sdt>
    <w:p w14:paraId="5B899684" w14:textId="77777777" w:rsidR="00FE4745" w:rsidRPr="003F3C2F" w:rsidRDefault="00FE4745" w:rsidP="00432A93">
      <w:pPr>
        <w:spacing w:before="240" w:after="240" w:line="276" w:lineRule="auto"/>
        <w:rPr>
          <w:rFonts w:eastAsiaTheme="majorEastAsia"/>
          <w:b/>
          <w:color w:val="365F91" w:themeColor="accent1" w:themeShade="BF"/>
          <w:sz w:val="40"/>
          <w:szCs w:val="40"/>
        </w:rPr>
      </w:pPr>
      <w:r w:rsidRPr="003F3C2F">
        <w:rPr>
          <w:b/>
        </w:rPr>
        <w:br w:type="page"/>
      </w:r>
    </w:p>
    <w:p w14:paraId="48602004" w14:textId="7E18BB29" w:rsidR="00FE4745" w:rsidRPr="003F3C2F" w:rsidRDefault="00DC1DE2" w:rsidP="00F51FAF">
      <w:pPr>
        <w:pStyle w:val="Heading1"/>
        <w:numPr>
          <w:ilvl w:val="0"/>
          <w:numId w:val="12"/>
        </w:numPr>
        <w:spacing w:before="240" w:after="240" w:line="276" w:lineRule="auto"/>
        <w:ind w:left="360"/>
        <w:rPr>
          <w:bCs/>
        </w:rPr>
      </w:pPr>
      <w:r w:rsidRPr="003F3C2F">
        <w:rPr>
          <w:bCs/>
        </w:rPr>
        <w:lastRenderedPageBreak/>
        <w:t xml:space="preserve"> </w:t>
      </w:r>
      <w:bookmarkStart w:id="5" w:name="_Toc205444862"/>
      <w:r w:rsidR="00FE4745" w:rsidRPr="003F3C2F">
        <w:rPr>
          <w:bCs/>
        </w:rPr>
        <w:t>INTRODUCTION</w:t>
      </w:r>
      <w:r w:rsidR="009A6BAB" w:rsidRPr="003F3C2F">
        <w:rPr>
          <w:bCs/>
        </w:rPr>
        <w:t xml:space="preserve"> </w:t>
      </w:r>
      <w:bookmarkEnd w:id="5"/>
    </w:p>
    <w:p w14:paraId="3E00C460" w14:textId="0EF0D588" w:rsidR="00A63DD6" w:rsidRPr="003F3C2F" w:rsidRDefault="00697F07" w:rsidP="00D07655">
      <w:pPr>
        <w:pStyle w:val="Heading2"/>
        <w:numPr>
          <w:ilvl w:val="1"/>
          <w:numId w:val="12"/>
        </w:numPr>
        <w:spacing w:before="240" w:after="240" w:line="276" w:lineRule="auto"/>
      </w:pPr>
      <w:bookmarkStart w:id="6" w:name="_Toc205444863"/>
      <w:r w:rsidRPr="003F3C2F">
        <w:t>B</w:t>
      </w:r>
      <w:r w:rsidR="00FE4745" w:rsidRPr="003F3C2F">
        <w:t>ackground</w:t>
      </w:r>
      <w:bookmarkEnd w:id="6"/>
    </w:p>
    <w:p w14:paraId="79FD4A2F" w14:textId="45D3EFBC" w:rsidR="004C7597" w:rsidRPr="003F3C2F" w:rsidRDefault="004C7597" w:rsidP="00E31C9B">
      <w:pPr>
        <w:pStyle w:val="BodyText"/>
        <w:ind w:left="0"/>
        <w:rPr>
          <w:rFonts w:ascii="Times New Roman" w:hAnsi="Times New Roman"/>
          <w:sz w:val="24"/>
          <w:szCs w:val="24"/>
        </w:rPr>
      </w:pPr>
      <w:r w:rsidRPr="003F3C2F">
        <w:rPr>
          <w:rFonts w:ascii="Times New Roman" w:hAnsi="Times New Roman"/>
          <w:sz w:val="24"/>
          <w:szCs w:val="24"/>
        </w:rPr>
        <w:t>Natio</w:t>
      </w:r>
      <w:r w:rsidR="00D07655" w:rsidRPr="003F3C2F">
        <w:rPr>
          <w:rFonts w:ascii="Times New Roman" w:hAnsi="Times New Roman"/>
          <w:sz w:val="24"/>
          <w:szCs w:val="24"/>
        </w:rPr>
        <w:t>nall</w:t>
      </w:r>
      <w:r w:rsidRPr="003F3C2F">
        <w:rPr>
          <w:rFonts w:ascii="Times New Roman" w:hAnsi="Times New Roman"/>
          <w:sz w:val="24"/>
          <w:szCs w:val="24"/>
        </w:rPr>
        <w:t xml:space="preserve">y Determined Contributions (NDC) </w:t>
      </w:r>
      <w:r w:rsidR="00D07655" w:rsidRPr="003F3C2F">
        <w:rPr>
          <w:rFonts w:ascii="Times New Roman" w:hAnsi="Times New Roman"/>
          <w:sz w:val="24"/>
          <w:szCs w:val="24"/>
        </w:rPr>
        <w:t>encapsulates</w:t>
      </w:r>
      <w:r w:rsidRPr="003F3C2F">
        <w:rPr>
          <w:rFonts w:ascii="Times New Roman" w:hAnsi="Times New Roman"/>
          <w:sz w:val="24"/>
          <w:szCs w:val="24"/>
        </w:rPr>
        <w:t xml:space="preserve"> the country’s overall climate change </w:t>
      </w:r>
      <w:r w:rsidR="00D07655" w:rsidRPr="003F3C2F">
        <w:rPr>
          <w:rFonts w:ascii="Times New Roman" w:hAnsi="Times New Roman"/>
          <w:sz w:val="24"/>
          <w:szCs w:val="24"/>
        </w:rPr>
        <w:t>agenda</w:t>
      </w:r>
      <w:r w:rsidRPr="003F3C2F">
        <w:rPr>
          <w:rFonts w:ascii="Times New Roman" w:hAnsi="Times New Roman"/>
          <w:sz w:val="24"/>
          <w:szCs w:val="24"/>
        </w:rPr>
        <w:t xml:space="preserve"> and lays out concrete actions, interventions, and targets for mitigating and adapting to climate change with </w:t>
      </w:r>
      <w:r w:rsidR="00D07655" w:rsidRPr="003F3C2F">
        <w:rPr>
          <w:rFonts w:ascii="Times New Roman" w:hAnsi="Times New Roman"/>
          <w:sz w:val="24"/>
          <w:szCs w:val="24"/>
        </w:rPr>
        <w:t xml:space="preserve">a </w:t>
      </w:r>
      <w:r w:rsidRPr="003F3C2F">
        <w:rPr>
          <w:rFonts w:ascii="Times New Roman" w:hAnsi="Times New Roman"/>
          <w:sz w:val="24"/>
          <w:szCs w:val="24"/>
        </w:rPr>
        <w:t>focus on reducing emissions or removal</w:t>
      </w:r>
      <w:r w:rsidR="00D07655" w:rsidRPr="003F3C2F">
        <w:rPr>
          <w:rFonts w:ascii="Times New Roman" w:hAnsi="Times New Roman"/>
          <w:sz w:val="24"/>
          <w:szCs w:val="24"/>
        </w:rPr>
        <w:t>s</w:t>
      </w:r>
      <w:r w:rsidRPr="003F3C2F">
        <w:rPr>
          <w:rFonts w:ascii="Times New Roman" w:hAnsi="Times New Roman"/>
          <w:sz w:val="24"/>
          <w:szCs w:val="24"/>
        </w:rPr>
        <w:t xml:space="preserve"> in ways that fit local circumstances. Countries are voluntarily encouraged to set targets and goals under their NDC based on capacity, resources</w:t>
      </w:r>
      <w:r w:rsidR="00D07655" w:rsidRPr="003F3C2F">
        <w:rPr>
          <w:rFonts w:ascii="Times New Roman" w:hAnsi="Times New Roman"/>
          <w:sz w:val="24"/>
          <w:szCs w:val="24"/>
        </w:rPr>
        <w:t>,</w:t>
      </w:r>
      <w:r w:rsidRPr="003F3C2F">
        <w:rPr>
          <w:rFonts w:ascii="Times New Roman" w:hAnsi="Times New Roman"/>
          <w:sz w:val="24"/>
          <w:szCs w:val="24"/>
        </w:rPr>
        <w:t xml:space="preserve"> potential, technology, and local c</w:t>
      </w:r>
      <w:r w:rsidR="00D07655" w:rsidRPr="003F3C2F">
        <w:rPr>
          <w:rFonts w:ascii="Times New Roman" w:hAnsi="Times New Roman"/>
          <w:sz w:val="24"/>
          <w:szCs w:val="24"/>
        </w:rPr>
        <w:t>o</w:t>
      </w:r>
      <w:r w:rsidRPr="003F3C2F">
        <w:rPr>
          <w:rFonts w:ascii="Times New Roman" w:hAnsi="Times New Roman"/>
          <w:sz w:val="24"/>
          <w:szCs w:val="24"/>
        </w:rPr>
        <w:t>nditions. The NDC communicate</w:t>
      </w:r>
      <w:r w:rsidR="00D07655" w:rsidRPr="003F3C2F">
        <w:rPr>
          <w:rFonts w:ascii="Times New Roman" w:hAnsi="Times New Roman"/>
          <w:sz w:val="24"/>
          <w:szCs w:val="24"/>
        </w:rPr>
        <w:t>s</w:t>
      </w:r>
      <w:r w:rsidRPr="003F3C2F">
        <w:rPr>
          <w:rFonts w:ascii="Times New Roman" w:hAnsi="Times New Roman"/>
          <w:sz w:val="24"/>
          <w:szCs w:val="24"/>
        </w:rPr>
        <w:t xml:space="preserve"> Liberia’s climate goals, actions</w:t>
      </w:r>
      <w:r w:rsidR="00D07655" w:rsidRPr="003F3C2F">
        <w:rPr>
          <w:rFonts w:ascii="Times New Roman" w:hAnsi="Times New Roman"/>
          <w:sz w:val="24"/>
          <w:szCs w:val="24"/>
        </w:rPr>
        <w:t>,</w:t>
      </w:r>
      <w:r w:rsidRPr="003F3C2F">
        <w:rPr>
          <w:rFonts w:ascii="Times New Roman" w:hAnsi="Times New Roman"/>
          <w:sz w:val="24"/>
          <w:szCs w:val="24"/>
        </w:rPr>
        <w:t xml:space="preserve"> a</w:t>
      </w:r>
      <w:r w:rsidR="00D07655" w:rsidRPr="003F3C2F">
        <w:rPr>
          <w:rFonts w:ascii="Times New Roman" w:hAnsi="Times New Roman"/>
          <w:sz w:val="24"/>
          <w:szCs w:val="24"/>
        </w:rPr>
        <w:t>nd</w:t>
      </w:r>
      <w:r w:rsidRPr="003F3C2F">
        <w:rPr>
          <w:rFonts w:ascii="Times New Roman" w:hAnsi="Times New Roman"/>
          <w:sz w:val="24"/>
          <w:szCs w:val="24"/>
        </w:rPr>
        <w:t xml:space="preserve"> other arrangements for meeting the goals</w:t>
      </w:r>
      <w:r w:rsidR="00D07655" w:rsidRPr="003F3C2F">
        <w:rPr>
          <w:rFonts w:ascii="Times New Roman" w:hAnsi="Times New Roman"/>
          <w:sz w:val="24"/>
          <w:szCs w:val="24"/>
        </w:rPr>
        <w:t xml:space="preserve">. It is structured under conditional and unconditional mitigation targets, allowing opportunities for emissions reduction based on local/government support and international/external contributions. </w:t>
      </w:r>
    </w:p>
    <w:p w14:paraId="07BC0865" w14:textId="4B075AA8" w:rsidR="00A63DD6" w:rsidRPr="003F3C2F" w:rsidRDefault="00A63DD6" w:rsidP="00E31C9B">
      <w:pPr>
        <w:pStyle w:val="BodyText"/>
        <w:spacing w:before="240"/>
        <w:ind w:left="0"/>
        <w:rPr>
          <w:rFonts w:ascii="Times New Roman" w:hAnsi="Times New Roman"/>
          <w:sz w:val="24"/>
          <w:szCs w:val="24"/>
        </w:rPr>
      </w:pPr>
      <w:r w:rsidRPr="003F3C2F">
        <w:rPr>
          <w:rFonts w:ascii="Times New Roman" w:hAnsi="Times New Roman"/>
          <w:sz w:val="24"/>
          <w:szCs w:val="24"/>
        </w:rPr>
        <w:t>The Paris Climate Agreement, ratified by 195 nations at COP21, came into force on November 4, 2016. The agreement sets a long-term temperature goal to hold the global temperature increase to well below 2°C, with efforts to limit it to 1.5°C above pre-industrial levels. The agreement also aims to increase the ability to adapt to the adverse impacts of climate change and foster climate resilience and low greenhouse gas emissions (GHG) development, in a manner that does not threaten food production</w:t>
      </w:r>
      <w:r w:rsidR="00324985" w:rsidRPr="003F3C2F">
        <w:rPr>
          <w:rFonts w:ascii="Times New Roman" w:hAnsi="Times New Roman"/>
          <w:sz w:val="24"/>
          <w:szCs w:val="24"/>
        </w:rPr>
        <w:t>,</w:t>
      </w:r>
      <w:r w:rsidRPr="003F3C2F">
        <w:rPr>
          <w:rFonts w:ascii="Times New Roman" w:hAnsi="Times New Roman"/>
          <w:sz w:val="24"/>
          <w:szCs w:val="24"/>
        </w:rPr>
        <w:t xml:space="preserve"> and mak</w:t>
      </w:r>
      <w:r w:rsidR="00324985" w:rsidRPr="003F3C2F">
        <w:rPr>
          <w:rFonts w:ascii="Times New Roman" w:hAnsi="Times New Roman"/>
          <w:sz w:val="24"/>
          <w:szCs w:val="24"/>
        </w:rPr>
        <w:t>e</w:t>
      </w:r>
      <w:r w:rsidRPr="003F3C2F">
        <w:rPr>
          <w:rFonts w:ascii="Times New Roman" w:hAnsi="Times New Roman"/>
          <w:sz w:val="24"/>
          <w:szCs w:val="24"/>
        </w:rPr>
        <w:t xml:space="preserve"> finance flows consistent with low</w:t>
      </w:r>
      <w:r w:rsidR="00324985" w:rsidRPr="003F3C2F">
        <w:rPr>
          <w:rFonts w:ascii="Times New Roman" w:hAnsi="Times New Roman"/>
          <w:sz w:val="24"/>
          <w:szCs w:val="24"/>
        </w:rPr>
        <w:t>-</w:t>
      </w:r>
      <w:r w:rsidRPr="003F3C2F">
        <w:rPr>
          <w:rFonts w:ascii="Times New Roman" w:hAnsi="Times New Roman"/>
          <w:sz w:val="24"/>
          <w:szCs w:val="24"/>
        </w:rPr>
        <w:t>carbon and climate-resilient development.</w:t>
      </w:r>
      <w:r w:rsidRPr="003F3C2F">
        <w:rPr>
          <w:rStyle w:val="FootnoteReference"/>
          <w:rFonts w:ascii="Times New Roman" w:hAnsi="Times New Roman"/>
          <w:sz w:val="24"/>
          <w:szCs w:val="24"/>
        </w:rPr>
        <w:footnoteReference w:id="1"/>
      </w:r>
      <w:r w:rsidRPr="003F3C2F">
        <w:rPr>
          <w:rFonts w:ascii="Times New Roman" w:hAnsi="Times New Roman"/>
          <w:sz w:val="24"/>
          <w:szCs w:val="24"/>
        </w:rPr>
        <w:t xml:space="preserve">  </w:t>
      </w:r>
    </w:p>
    <w:p w14:paraId="467F8391" w14:textId="756339E0" w:rsidR="004C7597" w:rsidRPr="003F3C2F" w:rsidRDefault="00A63DD6" w:rsidP="00E31C9B">
      <w:pPr>
        <w:pStyle w:val="BodyText"/>
        <w:spacing w:before="240"/>
        <w:ind w:left="0"/>
        <w:rPr>
          <w:rFonts w:ascii="Times New Roman" w:hAnsi="Times New Roman"/>
          <w:sz w:val="24"/>
          <w:szCs w:val="24"/>
        </w:rPr>
      </w:pPr>
      <w:r w:rsidRPr="003F3C2F">
        <w:rPr>
          <w:rFonts w:ascii="Times New Roman" w:hAnsi="Times New Roman"/>
          <w:sz w:val="24"/>
          <w:szCs w:val="24"/>
        </w:rPr>
        <w:t xml:space="preserve">Parties to the Paris Agreement are required to prepare, communicate, and maintain successive </w:t>
      </w:r>
      <w:r w:rsidR="00D07655" w:rsidRPr="003F3C2F">
        <w:rPr>
          <w:rFonts w:ascii="Times New Roman" w:hAnsi="Times New Roman"/>
          <w:sz w:val="24"/>
          <w:szCs w:val="24"/>
        </w:rPr>
        <w:t>NDCs</w:t>
      </w:r>
      <w:r w:rsidRPr="003F3C2F">
        <w:rPr>
          <w:rFonts w:ascii="Times New Roman" w:hAnsi="Times New Roman"/>
          <w:sz w:val="24"/>
          <w:szCs w:val="24"/>
        </w:rPr>
        <w:t xml:space="preserve"> with the mandate to pursue domestic mitigation measures, with the aim of achieving the objectives of such contributions</w:t>
      </w:r>
      <w:r w:rsidR="004C7597" w:rsidRPr="003F3C2F">
        <w:rPr>
          <w:rStyle w:val="FootnoteReference"/>
          <w:rFonts w:ascii="Times New Roman" w:hAnsi="Times New Roman"/>
          <w:sz w:val="24"/>
          <w:szCs w:val="24"/>
        </w:rPr>
        <w:footnoteReference w:id="2"/>
      </w:r>
      <w:r w:rsidRPr="003F3C2F">
        <w:rPr>
          <w:rFonts w:ascii="Times New Roman" w:hAnsi="Times New Roman"/>
          <w:sz w:val="24"/>
          <w:szCs w:val="24"/>
        </w:rPr>
        <w:t xml:space="preserve">. In this regard, the Government of Liberia produced the first NDC (NDC 1.0), described as its Intended Nationally Determined Contribution, in </w:t>
      </w:r>
      <w:r w:rsidR="004C7597" w:rsidRPr="003F3C2F">
        <w:rPr>
          <w:rFonts w:ascii="Times New Roman" w:hAnsi="Times New Roman"/>
          <w:sz w:val="24"/>
          <w:szCs w:val="24"/>
        </w:rPr>
        <w:t>2015</w:t>
      </w:r>
      <w:r w:rsidRPr="003F3C2F">
        <w:rPr>
          <w:rFonts w:ascii="Times New Roman" w:hAnsi="Times New Roman"/>
          <w:sz w:val="24"/>
          <w:szCs w:val="24"/>
        </w:rPr>
        <w:t xml:space="preserve">, and later produced a detailed, costed, and ambitious NDC 2.0 in 2021. </w:t>
      </w:r>
      <w:r w:rsidR="004C7597" w:rsidRPr="003F3C2F">
        <w:rPr>
          <w:rFonts w:ascii="Times New Roman" w:hAnsi="Times New Roman"/>
          <w:sz w:val="24"/>
          <w:szCs w:val="24"/>
        </w:rPr>
        <w:t xml:space="preserve">Article 4.3 </w:t>
      </w:r>
      <w:r w:rsidR="00D07655" w:rsidRPr="003F3C2F">
        <w:rPr>
          <w:rFonts w:ascii="Times New Roman" w:hAnsi="Times New Roman"/>
          <w:sz w:val="24"/>
          <w:szCs w:val="24"/>
        </w:rPr>
        <w:t xml:space="preserve">of the Paris Agreement </w:t>
      </w:r>
      <w:r w:rsidR="004C7597" w:rsidRPr="003F3C2F">
        <w:rPr>
          <w:rFonts w:ascii="Times New Roman" w:hAnsi="Times New Roman"/>
          <w:sz w:val="24"/>
          <w:szCs w:val="24"/>
        </w:rPr>
        <w:t xml:space="preserve">stipulates that countries communicate enhanced NDCs every five years, reflecting their highest possible ambition, and their Common But Differentiated Responsibilities and Respective Capabilities (CBDR-RC), in the light of different national circumstances. Following </w:t>
      </w:r>
      <w:r w:rsidRPr="003F3C2F">
        <w:rPr>
          <w:rFonts w:ascii="Times New Roman" w:hAnsi="Times New Roman"/>
          <w:sz w:val="24"/>
          <w:szCs w:val="24"/>
        </w:rPr>
        <w:t>the global stocktake</w:t>
      </w:r>
      <w:r w:rsidR="00E31C9B" w:rsidRPr="003F3C2F">
        <w:rPr>
          <w:rFonts w:ascii="Times New Roman" w:hAnsi="Times New Roman"/>
          <w:sz w:val="24"/>
          <w:szCs w:val="24"/>
        </w:rPr>
        <w:t xml:space="preserve"> (GST), which reported that the world is not on track to meet the long-term goals and has a narrowing window of opportunity to get back on track</w:t>
      </w:r>
      <w:r w:rsidR="00E31C9B" w:rsidRPr="003F3C2F">
        <w:rPr>
          <w:rStyle w:val="FootnoteReference"/>
          <w:rFonts w:ascii="Times New Roman" w:hAnsi="Times New Roman"/>
          <w:sz w:val="24"/>
          <w:szCs w:val="24"/>
        </w:rPr>
        <w:footnoteReference w:id="3"/>
      </w:r>
      <w:r w:rsidRPr="003F3C2F">
        <w:rPr>
          <w:rFonts w:ascii="Times New Roman" w:hAnsi="Times New Roman"/>
          <w:sz w:val="24"/>
          <w:szCs w:val="24"/>
        </w:rPr>
        <w:t>, the Government of Liberia evaluated its NDC 2.0 to assess progress, challenges, and the need for adjustment. The NDC</w:t>
      </w:r>
      <w:r w:rsidR="00D07655" w:rsidRPr="003F3C2F">
        <w:rPr>
          <w:rFonts w:ascii="Times New Roman" w:hAnsi="Times New Roman"/>
          <w:sz w:val="24"/>
          <w:szCs w:val="24"/>
        </w:rPr>
        <w:t xml:space="preserve"> 2.0</w:t>
      </w:r>
      <w:r w:rsidRPr="003F3C2F">
        <w:rPr>
          <w:rFonts w:ascii="Times New Roman" w:hAnsi="Times New Roman"/>
          <w:sz w:val="24"/>
          <w:szCs w:val="24"/>
        </w:rPr>
        <w:t xml:space="preserve"> stocktake </w:t>
      </w:r>
      <w:r w:rsidR="004C7597" w:rsidRPr="003F3C2F">
        <w:rPr>
          <w:rFonts w:ascii="Times New Roman" w:hAnsi="Times New Roman"/>
          <w:sz w:val="24"/>
          <w:szCs w:val="24"/>
        </w:rPr>
        <w:t xml:space="preserve">demonstrated Liberia’s achievement of emissions reduction of </w:t>
      </w:r>
      <w:r w:rsidR="00E31C9B" w:rsidRPr="003F3C2F">
        <w:rPr>
          <w:rFonts w:ascii="Times New Roman" w:hAnsi="Times New Roman"/>
          <w:sz w:val="24"/>
          <w:szCs w:val="24"/>
        </w:rPr>
        <w:t xml:space="preserve">848.34 Gg CO2e or 20.47% </w:t>
      </w:r>
      <w:r w:rsidR="004C7597" w:rsidRPr="003F3C2F">
        <w:rPr>
          <w:rFonts w:ascii="Times New Roman" w:hAnsi="Times New Roman"/>
          <w:sz w:val="24"/>
          <w:szCs w:val="24"/>
        </w:rPr>
        <w:t>from 2021-2024.</w:t>
      </w:r>
      <w:r w:rsidR="00E31C9B" w:rsidRPr="003F3C2F">
        <w:rPr>
          <w:rStyle w:val="FootnoteReference"/>
          <w:rFonts w:ascii="Times New Roman" w:hAnsi="Times New Roman"/>
          <w:sz w:val="24"/>
          <w:szCs w:val="24"/>
        </w:rPr>
        <w:footnoteReference w:id="4"/>
      </w:r>
      <w:r w:rsidR="004C7597" w:rsidRPr="003F3C2F">
        <w:rPr>
          <w:rFonts w:ascii="Times New Roman" w:hAnsi="Times New Roman"/>
          <w:sz w:val="24"/>
          <w:szCs w:val="24"/>
        </w:rPr>
        <w:t xml:space="preserve"> This is out of the total target of reducing GHG emissions by 64% in 2030. </w:t>
      </w:r>
    </w:p>
    <w:p w14:paraId="33D1AEBD" w14:textId="77777777" w:rsidR="00D07655" w:rsidRPr="003F3C2F" w:rsidRDefault="00D07655" w:rsidP="00E31C9B">
      <w:pPr>
        <w:pStyle w:val="p1"/>
        <w:spacing w:line="276" w:lineRule="auto"/>
        <w:jc w:val="both"/>
        <w:rPr>
          <w:sz w:val="24"/>
          <w:szCs w:val="24"/>
        </w:rPr>
      </w:pPr>
    </w:p>
    <w:p w14:paraId="78FB3CE4" w14:textId="7AB039FC" w:rsidR="00A63DD6" w:rsidRPr="003F3C2F" w:rsidRDefault="00D07655" w:rsidP="007C7CDD">
      <w:pPr>
        <w:pStyle w:val="p1"/>
        <w:spacing w:line="276" w:lineRule="auto"/>
        <w:jc w:val="both"/>
        <w:rPr>
          <w:sz w:val="24"/>
          <w:szCs w:val="24"/>
          <w:lang w:val="en-IN"/>
        </w:rPr>
      </w:pPr>
      <w:r w:rsidRPr="003F3C2F">
        <w:rPr>
          <w:sz w:val="24"/>
          <w:szCs w:val="24"/>
        </w:rPr>
        <w:t xml:space="preserve">In the third quarter of 2025, the Government of Liberia embarked on the national process to revise and update its NDC. This NDC 3.0 is informed by the outcomes of the global stocktake, changes in national circumstances,  the overall development goal of the government as expressed in its ARREST Agenda for Inclusive Development (AAID), and the results of the NDC 2.0 stocktake. </w:t>
      </w:r>
    </w:p>
    <w:p w14:paraId="0AD88F95" w14:textId="4C571A88" w:rsidR="009A6BAB" w:rsidRPr="003F3C2F" w:rsidRDefault="00FE4745" w:rsidP="009A6BAB">
      <w:pPr>
        <w:pStyle w:val="Heading2"/>
        <w:numPr>
          <w:ilvl w:val="1"/>
          <w:numId w:val="12"/>
        </w:numPr>
        <w:spacing w:before="240" w:after="240" w:line="276" w:lineRule="auto"/>
      </w:pPr>
      <w:bookmarkStart w:id="7" w:name="_Toc205444864"/>
      <w:r w:rsidRPr="003F3C2F">
        <w:t>National Circumstances</w:t>
      </w:r>
      <w:bookmarkEnd w:id="7"/>
      <w:r w:rsidRPr="003F3C2F">
        <w:t xml:space="preserve"> </w:t>
      </w:r>
    </w:p>
    <w:p w14:paraId="07FC4D74" w14:textId="6872C8FD" w:rsidR="00FA7B0D" w:rsidRPr="003F3C2F" w:rsidRDefault="009A6BAB" w:rsidP="004D72C4">
      <w:pPr>
        <w:pStyle w:val="Heading3"/>
        <w:numPr>
          <w:ilvl w:val="2"/>
          <w:numId w:val="12"/>
        </w:numPr>
        <w:spacing w:before="240" w:after="240" w:line="276" w:lineRule="auto"/>
        <w:ind w:left="709" w:hanging="360"/>
        <w:rPr>
          <w:szCs w:val="28"/>
        </w:rPr>
      </w:pPr>
      <w:bookmarkStart w:id="8" w:name="_Toc199455907"/>
      <w:bookmarkStart w:id="9" w:name="_Toc205444865"/>
      <w:r w:rsidRPr="003F3C2F">
        <w:rPr>
          <w:szCs w:val="28"/>
        </w:rPr>
        <w:t>Geography</w:t>
      </w:r>
      <w:bookmarkEnd w:id="8"/>
      <w:bookmarkEnd w:id="9"/>
    </w:p>
    <w:p w14:paraId="29F9C0F7" w14:textId="5765413E" w:rsidR="00FA7B0D" w:rsidRPr="003F3C2F" w:rsidRDefault="00FA7B0D" w:rsidP="007C7CDD">
      <w:pPr>
        <w:pStyle w:val="p1"/>
        <w:spacing w:line="276" w:lineRule="auto"/>
        <w:jc w:val="both"/>
        <w:rPr>
          <w:sz w:val="24"/>
          <w:szCs w:val="24"/>
          <w:lang w:val="en-IN"/>
        </w:rPr>
      </w:pPr>
      <w:r w:rsidRPr="003F3C2F">
        <w:rPr>
          <w:sz w:val="24"/>
          <w:szCs w:val="24"/>
        </w:rPr>
        <w:t xml:space="preserve">Liberia is located on the West Coast of Africa. It is bordered by Sierra Leone on the west, Guinea on the north, Côte d’Ivoire on the east, and the Atlantic Ocean on the south. It lies between the longitudes of </w:t>
      </w:r>
      <w:r w:rsidR="00DC5998" w:rsidRPr="003F3C2F">
        <w:rPr>
          <w:sz w:val="24"/>
          <w:szCs w:val="24"/>
        </w:rPr>
        <w:t>7</w:t>
      </w:r>
      <w:r w:rsidR="00DC5998" w:rsidRPr="003F3C2F">
        <w:rPr>
          <w:sz w:val="24"/>
          <w:szCs w:val="24"/>
          <w:vertAlign w:val="superscript"/>
        </w:rPr>
        <w:t>°</w:t>
      </w:r>
      <w:r w:rsidR="00DC5998" w:rsidRPr="003F3C2F">
        <w:rPr>
          <w:sz w:val="24"/>
          <w:szCs w:val="24"/>
        </w:rPr>
        <w:t>30 `and 11</w:t>
      </w:r>
      <w:r w:rsidR="00DC5998" w:rsidRPr="003F3C2F">
        <w:rPr>
          <w:sz w:val="24"/>
          <w:szCs w:val="24"/>
          <w:vertAlign w:val="superscript"/>
        </w:rPr>
        <w:t>°</w:t>
      </w:r>
      <w:r w:rsidR="00DC5998" w:rsidRPr="003F3C2F">
        <w:rPr>
          <w:sz w:val="24"/>
          <w:szCs w:val="24"/>
        </w:rPr>
        <w:t>30' west and latitudes of 4°18` and 8°30'</w:t>
      </w:r>
      <w:r w:rsidRPr="003F3C2F">
        <w:rPr>
          <w:sz w:val="24"/>
          <w:szCs w:val="24"/>
        </w:rPr>
        <w:t xml:space="preserve"> north. Topographically, Liberia is diverse, ranging from features of coastal plains, lagoons, and mangrove marshlands, to rainforests and plateaus rolling towards the interior. </w:t>
      </w:r>
      <w:r w:rsidR="00DC5998" w:rsidRPr="003F3C2F">
        <w:rPr>
          <w:sz w:val="24"/>
          <w:szCs w:val="24"/>
        </w:rPr>
        <w:t xml:space="preserve"> It contains a low-lying plain on the Atlantic Ocean comprised of mangroves, tidal creeks, and shallow lagoons upto 40 km wide and 0–30 meters (m) above sea level;  rolling hills, a transitional zone between 60–150 m comprised of hills, valleys, and fast-moving waterways; plateau, the largest zone in area comprising most of Liberia’s interior between 200–300m above sea level, characterized by dense forest cover and a sharp change in elevation from the rolling hills; and  northern highlands, mountain ridges located near the Guinean border above 300 m altitude, which include the Wologisi Range in Lofa, Gbarpolu, and Bong Counties (up to 1,440 m high), and the Nimba Range in northern Nimba County (up to 1,385 m high on Liberia’s side of the border.</w:t>
      </w:r>
      <w:r w:rsidR="00DC5998" w:rsidRPr="003F3C2F">
        <w:rPr>
          <w:rStyle w:val="FootnoteReference"/>
          <w:sz w:val="24"/>
          <w:szCs w:val="24"/>
        </w:rPr>
        <w:footnoteReference w:id="5"/>
      </w:r>
    </w:p>
    <w:p w14:paraId="427918BC" w14:textId="1F00034B" w:rsidR="00FA7B0D" w:rsidRPr="003F3C2F" w:rsidRDefault="009A6BAB" w:rsidP="004D72C4">
      <w:pPr>
        <w:pStyle w:val="Heading3"/>
        <w:numPr>
          <w:ilvl w:val="2"/>
          <w:numId w:val="12"/>
        </w:numPr>
        <w:spacing w:before="240" w:after="240" w:line="276" w:lineRule="auto"/>
        <w:ind w:left="709" w:hanging="360"/>
        <w:rPr>
          <w:szCs w:val="28"/>
        </w:rPr>
      </w:pPr>
      <w:bookmarkStart w:id="10" w:name="_Toc199455908"/>
      <w:bookmarkStart w:id="11" w:name="_Toc205444866"/>
      <w:r w:rsidRPr="003F3C2F">
        <w:rPr>
          <w:szCs w:val="28"/>
        </w:rPr>
        <w:t>Demography</w:t>
      </w:r>
      <w:bookmarkEnd w:id="10"/>
      <w:bookmarkEnd w:id="11"/>
    </w:p>
    <w:p w14:paraId="21E27329" w14:textId="451EE8A1" w:rsidR="00FA7B0D" w:rsidRPr="003F3C2F" w:rsidRDefault="004D72C4" w:rsidP="004D72C4">
      <w:pPr>
        <w:pStyle w:val="p1"/>
        <w:spacing w:line="276" w:lineRule="auto"/>
        <w:jc w:val="both"/>
        <w:rPr>
          <w:sz w:val="24"/>
          <w:szCs w:val="24"/>
        </w:rPr>
      </w:pPr>
      <w:r w:rsidRPr="003F3C2F">
        <w:rPr>
          <w:sz w:val="24"/>
          <w:szCs w:val="24"/>
        </w:rPr>
        <w:t>The Liberia 2022 Population and Housing Census (LPHC) puts the country’s population at 5,250,187, with an annual growth rate of 3 percent. The population is almost evenly divided between males (50.4%) and females (49.6%). A little over half (54.5%) of the population resides in urban communities, while the remaining (45.5%) reside in rural areas. The population is relatively youthful</w:t>
      </w:r>
      <w:r w:rsidR="00E201E3" w:rsidRPr="003F3C2F">
        <w:rPr>
          <w:sz w:val="24"/>
          <w:szCs w:val="24"/>
        </w:rPr>
        <w:t>, with 41.5 percent of its population below 18 years of age, 47 percent between ages 18-60, and 5 percent of the population is age 60 and above.</w:t>
      </w:r>
    </w:p>
    <w:p w14:paraId="7D5AFE3E" w14:textId="77777777" w:rsidR="009A6BAB" w:rsidRPr="003F3C2F" w:rsidRDefault="009A6BAB" w:rsidP="009A6BAB">
      <w:pPr>
        <w:pStyle w:val="Heading3"/>
        <w:numPr>
          <w:ilvl w:val="2"/>
          <w:numId w:val="12"/>
        </w:numPr>
        <w:spacing w:before="240" w:after="240" w:line="276" w:lineRule="auto"/>
        <w:ind w:left="709" w:hanging="360"/>
        <w:rPr>
          <w:szCs w:val="28"/>
        </w:rPr>
      </w:pPr>
      <w:bookmarkStart w:id="12" w:name="_Toc199455909"/>
      <w:bookmarkStart w:id="13" w:name="_Toc205444867"/>
      <w:r w:rsidRPr="003F3C2F">
        <w:rPr>
          <w:szCs w:val="28"/>
        </w:rPr>
        <w:t>Economy</w:t>
      </w:r>
      <w:bookmarkEnd w:id="12"/>
      <w:bookmarkEnd w:id="13"/>
    </w:p>
    <w:p w14:paraId="1B02501E" w14:textId="1FB9435F" w:rsidR="00175769" w:rsidRPr="003F3C2F" w:rsidRDefault="00E201E3" w:rsidP="00175769">
      <w:pPr>
        <w:pStyle w:val="p1"/>
        <w:spacing w:line="276" w:lineRule="auto"/>
        <w:jc w:val="both"/>
        <w:rPr>
          <w:sz w:val="24"/>
          <w:szCs w:val="24"/>
        </w:rPr>
      </w:pPr>
      <w:r w:rsidRPr="003F3C2F">
        <w:rPr>
          <w:sz w:val="24"/>
          <w:szCs w:val="24"/>
        </w:rPr>
        <w:t xml:space="preserve">Liberia continues to be listed among the poorest countries in the world. As a result, Liberia is classified under international development indicators as a low-income and underdeveloped nation. It is ranked 178 out of 191 countries in human development (UNDP, Human </w:t>
      </w:r>
      <w:r w:rsidRPr="003F3C2F">
        <w:rPr>
          <w:sz w:val="24"/>
          <w:szCs w:val="24"/>
        </w:rPr>
        <w:lastRenderedPageBreak/>
        <w:t>Development Report, 2024) and is currently among the 10 poorest countries in Africa (IMF, 2024)</w:t>
      </w:r>
      <w:r w:rsidR="004D72C4" w:rsidRPr="003F3C2F">
        <w:rPr>
          <w:sz w:val="24"/>
          <w:szCs w:val="24"/>
        </w:rPr>
        <w:t xml:space="preserve">. </w:t>
      </w:r>
      <w:r w:rsidR="00175769" w:rsidRPr="003F3C2F">
        <w:rPr>
          <w:sz w:val="24"/>
          <w:szCs w:val="24"/>
        </w:rPr>
        <w:t xml:space="preserve"> The country’s GDP was 4.75 billion USD in 2024. It </w:t>
      </w:r>
      <w:r w:rsidR="004D72C4" w:rsidRPr="003F3C2F">
        <w:rPr>
          <w:sz w:val="24"/>
          <w:szCs w:val="24"/>
        </w:rPr>
        <w:t>faces high income inequality with</w:t>
      </w:r>
      <w:r w:rsidR="00175769" w:rsidRPr="003F3C2F">
        <w:rPr>
          <w:sz w:val="24"/>
          <w:szCs w:val="24"/>
        </w:rPr>
        <w:t xml:space="preserve"> </w:t>
      </w:r>
      <w:r w:rsidR="00640983" w:rsidRPr="003F3C2F">
        <w:rPr>
          <w:sz w:val="24"/>
          <w:szCs w:val="24"/>
        </w:rPr>
        <w:t xml:space="preserve">a </w:t>
      </w:r>
      <w:r w:rsidR="004D72C4" w:rsidRPr="003F3C2F">
        <w:rPr>
          <w:sz w:val="24"/>
          <w:szCs w:val="24"/>
        </w:rPr>
        <w:t xml:space="preserve">35.3 percent Gini Coefficient, </w:t>
      </w:r>
      <w:r w:rsidR="00640983" w:rsidRPr="003F3C2F">
        <w:rPr>
          <w:sz w:val="24"/>
          <w:szCs w:val="24"/>
        </w:rPr>
        <w:t xml:space="preserve">and </w:t>
      </w:r>
      <w:r w:rsidR="004D72C4" w:rsidRPr="003F3C2F">
        <w:rPr>
          <w:sz w:val="24"/>
          <w:szCs w:val="24"/>
        </w:rPr>
        <w:t>high multidimensional</w:t>
      </w:r>
      <w:r w:rsidR="00175769" w:rsidRPr="003F3C2F">
        <w:rPr>
          <w:sz w:val="24"/>
          <w:szCs w:val="24"/>
        </w:rPr>
        <w:t xml:space="preserve"> </w:t>
      </w:r>
      <w:r w:rsidR="004D72C4" w:rsidRPr="003F3C2F">
        <w:rPr>
          <w:sz w:val="24"/>
          <w:szCs w:val="24"/>
        </w:rPr>
        <w:t>poverty standing at 45 percent</w:t>
      </w:r>
      <w:r w:rsidR="00175769" w:rsidRPr="003F3C2F">
        <w:rPr>
          <w:sz w:val="24"/>
          <w:szCs w:val="24"/>
        </w:rPr>
        <w:t xml:space="preserve">. </w:t>
      </w:r>
    </w:p>
    <w:p w14:paraId="328E0EDA" w14:textId="77777777" w:rsidR="00175769" w:rsidRPr="003F3C2F" w:rsidRDefault="00175769" w:rsidP="00175769">
      <w:pPr>
        <w:pStyle w:val="p1"/>
        <w:spacing w:line="276" w:lineRule="auto"/>
        <w:jc w:val="both"/>
        <w:rPr>
          <w:sz w:val="24"/>
          <w:szCs w:val="24"/>
        </w:rPr>
      </w:pPr>
    </w:p>
    <w:p w14:paraId="06C2AC0A" w14:textId="2F798544" w:rsidR="00FA7B0D" w:rsidRPr="003F3C2F" w:rsidRDefault="00175769" w:rsidP="00C7241D">
      <w:pPr>
        <w:pStyle w:val="p1"/>
        <w:spacing w:line="276" w:lineRule="auto"/>
        <w:jc w:val="both"/>
        <w:rPr>
          <w:i/>
          <w:iCs/>
          <w:sz w:val="22"/>
          <w:szCs w:val="22"/>
        </w:rPr>
      </w:pPr>
      <w:r w:rsidRPr="003F3C2F">
        <w:rPr>
          <w:sz w:val="24"/>
          <w:szCs w:val="24"/>
        </w:rPr>
        <w:t>The services sector accounted for 37.5 percent of GDP, highlighting the need for diversification. Fiscal deficits have contributed to rising public debt, with a debt-to-GDP ratio of 55.7 percent in 2023. The monetary sector struggles with inflation, which rose in 2023 to 10.1 percent, despite effective management of a dual currency system. T</w:t>
      </w:r>
      <w:r w:rsidR="004D72C4" w:rsidRPr="003F3C2F">
        <w:rPr>
          <w:sz w:val="24"/>
          <w:szCs w:val="24"/>
        </w:rPr>
        <w:t>he overall progress</w:t>
      </w:r>
      <w:r w:rsidRPr="003F3C2F">
        <w:rPr>
          <w:sz w:val="24"/>
          <w:szCs w:val="24"/>
        </w:rPr>
        <w:t xml:space="preserve"> </w:t>
      </w:r>
      <w:r w:rsidR="004D72C4" w:rsidRPr="003F3C2F">
        <w:rPr>
          <w:sz w:val="24"/>
          <w:szCs w:val="24"/>
        </w:rPr>
        <w:t xml:space="preserve">towards </w:t>
      </w:r>
      <w:r w:rsidRPr="003F3C2F">
        <w:rPr>
          <w:sz w:val="24"/>
          <w:szCs w:val="24"/>
        </w:rPr>
        <w:t xml:space="preserve">achieving the desired outcomes for the Sustainable Development Goals (SDGs) is less than satisfactory. Only 20.3 percent of SDG indicators are on track. </w:t>
      </w:r>
    </w:p>
    <w:p w14:paraId="5EBE2B7B" w14:textId="06581603" w:rsidR="00DC5998" w:rsidRPr="003F3C2F" w:rsidRDefault="009A6BAB" w:rsidP="004B250A">
      <w:pPr>
        <w:pStyle w:val="Heading3"/>
        <w:numPr>
          <w:ilvl w:val="2"/>
          <w:numId w:val="12"/>
        </w:numPr>
        <w:spacing w:before="240" w:after="240" w:line="276" w:lineRule="auto"/>
        <w:ind w:left="709" w:hanging="360"/>
        <w:rPr>
          <w:szCs w:val="28"/>
        </w:rPr>
      </w:pPr>
      <w:bookmarkStart w:id="14" w:name="_Toc199455910"/>
      <w:bookmarkStart w:id="15" w:name="_Toc205444868"/>
      <w:r w:rsidRPr="003F3C2F">
        <w:rPr>
          <w:szCs w:val="28"/>
        </w:rPr>
        <w:t>Socio-economic Development Context</w:t>
      </w:r>
      <w:bookmarkEnd w:id="14"/>
      <w:bookmarkEnd w:id="15"/>
    </w:p>
    <w:p w14:paraId="78B2AC0C" w14:textId="39525C3B" w:rsidR="00DC5998" w:rsidRPr="003F3C2F" w:rsidRDefault="00C7241D" w:rsidP="00C7241D">
      <w:pPr>
        <w:pStyle w:val="p1"/>
        <w:spacing w:line="276" w:lineRule="auto"/>
        <w:jc w:val="both"/>
        <w:rPr>
          <w:sz w:val="24"/>
          <w:szCs w:val="24"/>
        </w:rPr>
      </w:pPr>
      <w:r w:rsidRPr="003F3C2F">
        <w:rPr>
          <w:sz w:val="24"/>
          <w:szCs w:val="24"/>
        </w:rPr>
        <w:t>Liberia has a significant youthful population, with nearly 75 percent under 35 and 41.5 percent under the age of 18, but most of whom are engaged in low-productive informal jobs. </w:t>
      </w:r>
      <w:r w:rsidR="004B250A" w:rsidRPr="003F3C2F">
        <w:rPr>
          <w:sz w:val="24"/>
          <w:szCs w:val="24"/>
        </w:rPr>
        <w:t xml:space="preserve">Life expectancy by 2023 was 60 years. </w:t>
      </w:r>
    </w:p>
    <w:p w14:paraId="7B9AAC79" w14:textId="77777777" w:rsidR="00C7241D" w:rsidRPr="003F3C2F" w:rsidRDefault="00C7241D" w:rsidP="00C7241D">
      <w:pPr>
        <w:pStyle w:val="p1"/>
        <w:spacing w:line="276" w:lineRule="auto"/>
        <w:jc w:val="both"/>
        <w:rPr>
          <w:sz w:val="24"/>
          <w:szCs w:val="24"/>
        </w:rPr>
      </w:pPr>
    </w:p>
    <w:p w14:paraId="33675D65" w14:textId="061F03CA" w:rsidR="00DC5998" w:rsidRPr="003F3C2F" w:rsidRDefault="00DC5998" w:rsidP="007C7CDD">
      <w:pPr>
        <w:pStyle w:val="p1"/>
        <w:spacing w:line="276" w:lineRule="auto"/>
        <w:jc w:val="both"/>
        <w:rPr>
          <w:sz w:val="24"/>
          <w:szCs w:val="24"/>
          <w:lang w:val="en-IN"/>
        </w:rPr>
      </w:pPr>
      <w:r w:rsidRPr="003F3C2F">
        <w:rPr>
          <w:sz w:val="24"/>
          <w:szCs w:val="24"/>
        </w:rPr>
        <w:t>At the core of Liberia’s development challenges are the interconnected issues of low level of literacy (48.3%, UNESCO, 58.6%, LHPC), high level of vulnerable employment (77.19%, World Bank), and multidimensional poverty (45.0%, LPHC), which are indications of severe deprivation of access to basic services. </w:t>
      </w:r>
      <w:r w:rsidR="004B250A" w:rsidRPr="003F3C2F">
        <w:rPr>
          <w:sz w:val="24"/>
          <w:szCs w:val="24"/>
        </w:rPr>
        <w:t xml:space="preserve">In 2022, about 31.8% of the population had access to electricity, </w:t>
      </w:r>
      <w:r w:rsidR="00640983" w:rsidRPr="003F3C2F">
        <w:rPr>
          <w:sz w:val="24"/>
          <w:szCs w:val="24"/>
        </w:rPr>
        <w:t xml:space="preserve">while </w:t>
      </w:r>
      <w:r w:rsidR="004B250A" w:rsidRPr="003F3C2F">
        <w:rPr>
          <w:sz w:val="24"/>
          <w:szCs w:val="24"/>
        </w:rPr>
        <w:t>69.3% of households had access to safe drinking water (World Bank). The number of health facilities increased by 22 percent between 2015 and 2020, from 656 to 806, resulting in a ratio of health facilities to population of 1 to 5,000 people. Liberia Demographic and Health Survey (LDHS), Liberia is a high-fertility country. Women in the reproductive ages, 15-49 years</w:t>
      </w:r>
      <w:r w:rsidR="00640983" w:rsidRPr="003F3C2F">
        <w:rPr>
          <w:sz w:val="24"/>
          <w:szCs w:val="24"/>
        </w:rPr>
        <w:t>,</w:t>
      </w:r>
      <w:r w:rsidR="004B250A" w:rsidRPr="003F3C2F">
        <w:rPr>
          <w:sz w:val="24"/>
          <w:szCs w:val="24"/>
        </w:rPr>
        <w:t xml:space="preserve"> have on average 4.2 children (LDHS, 2019).</w:t>
      </w:r>
    </w:p>
    <w:p w14:paraId="472BE3E2" w14:textId="3722141F" w:rsidR="00DC5998" w:rsidRPr="003F3C2F" w:rsidRDefault="009A6BAB" w:rsidP="00A3470E">
      <w:pPr>
        <w:pStyle w:val="Heading3"/>
        <w:numPr>
          <w:ilvl w:val="2"/>
          <w:numId w:val="12"/>
        </w:numPr>
        <w:spacing w:before="240" w:after="240" w:line="276" w:lineRule="auto"/>
        <w:ind w:left="709" w:hanging="360"/>
        <w:rPr>
          <w:szCs w:val="28"/>
        </w:rPr>
      </w:pPr>
      <w:bookmarkStart w:id="16" w:name="_Toc199455911"/>
      <w:bookmarkStart w:id="17" w:name="_Toc205444869"/>
      <w:r w:rsidRPr="003F3C2F">
        <w:rPr>
          <w:szCs w:val="28"/>
        </w:rPr>
        <w:t>Climate Profile</w:t>
      </w:r>
      <w:bookmarkEnd w:id="16"/>
      <w:bookmarkEnd w:id="17"/>
    </w:p>
    <w:p w14:paraId="497FD3E0" w14:textId="06F505B6" w:rsidR="00DC5998" w:rsidRPr="003F3C2F" w:rsidRDefault="00DC5998" w:rsidP="00A3470E">
      <w:pPr>
        <w:pStyle w:val="p1"/>
        <w:spacing w:line="276" w:lineRule="auto"/>
        <w:jc w:val="both"/>
        <w:rPr>
          <w:sz w:val="24"/>
          <w:szCs w:val="24"/>
        </w:rPr>
      </w:pPr>
      <w:r w:rsidRPr="003F3C2F">
        <w:rPr>
          <w:sz w:val="24"/>
          <w:szCs w:val="24"/>
        </w:rPr>
        <w:t>Liberia has a predominantly tropical monsoon climate</w:t>
      </w:r>
      <w:r w:rsidR="00A3470E" w:rsidRPr="003F3C2F">
        <w:rPr>
          <w:sz w:val="24"/>
          <w:szCs w:val="24"/>
        </w:rPr>
        <w:t>. T</w:t>
      </w:r>
      <w:r w:rsidR="00FD06CD" w:rsidRPr="003F3C2F">
        <w:rPr>
          <w:sz w:val="24"/>
          <w:szCs w:val="24"/>
        </w:rPr>
        <w:t>he climate of Liberia is divided into two separate regimes</w:t>
      </w:r>
      <w:r w:rsidR="00324985" w:rsidRPr="003F3C2F">
        <w:rPr>
          <w:sz w:val="24"/>
          <w:szCs w:val="24"/>
        </w:rPr>
        <w:t>:</w:t>
      </w:r>
      <w:r w:rsidR="00FD06CD" w:rsidRPr="003F3C2F">
        <w:rPr>
          <w:sz w:val="24"/>
          <w:szCs w:val="24"/>
        </w:rPr>
        <w:t xml:space="preserve"> the equatorial climate regime</w:t>
      </w:r>
      <w:r w:rsidR="00324985" w:rsidRPr="003F3C2F">
        <w:rPr>
          <w:sz w:val="24"/>
          <w:szCs w:val="24"/>
        </w:rPr>
        <w:t>,</w:t>
      </w:r>
      <w:r w:rsidR="00FD06CD" w:rsidRPr="003F3C2F">
        <w:rPr>
          <w:sz w:val="24"/>
          <w:szCs w:val="24"/>
        </w:rPr>
        <w:t xml:space="preserve"> restricted to the southernmost part of Liberia, where rainfall occurs throughout the year, and the tropical regime dominated by the interaction of the Intertropical convergence zone (ITCZ) and the West African Monsoon (Stanturf et al., 2013). Climate change is already being experienced in Liberia (EPA, 2018). The sensitivity of climate change to the biophysical features of Liberia and level of vulnerability of each sector are being felt and observed (EPA, 2018).</w:t>
      </w:r>
    </w:p>
    <w:p w14:paraId="55D67661" w14:textId="77777777" w:rsidR="00FD06CD" w:rsidRPr="003F3C2F" w:rsidRDefault="00FD06CD" w:rsidP="009A6BAB">
      <w:pPr>
        <w:pStyle w:val="BodyText"/>
        <w:ind w:left="0"/>
        <w:rPr>
          <w:rFonts w:ascii="Times New Roman" w:hAnsi="Times New Roman"/>
        </w:rPr>
      </w:pPr>
    </w:p>
    <w:p w14:paraId="6E1DEFDA" w14:textId="52F2E430" w:rsidR="00DC5998" w:rsidRPr="003F3C2F" w:rsidRDefault="00FD06CD" w:rsidP="007C7CDD">
      <w:pPr>
        <w:pStyle w:val="p1"/>
        <w:spacing w:line="276" w:lineRule="auto"/>
        <w:jc w:val="both"/>
        <w:rPr>
          <w:sz w:val="24"/>
          <w:szCs w:val="24"/>
          <w:lang w:val="en-IN"/>
        </w:rPr>
      </w:pPr>
      <w:r w:rsidRPr="003F3C2F">
        <w:rPr>
          <w:sz w:val="24"/>
          <w:szCs w:val="24"/>
        </w:rPr>
        <w:t xml:space="preserve">The temperature generally ranges from 24 °C to 30 °C. Based on the prevailing precipitation, two seasons are differentiated: rainy and dry. The rainy season lasts from mid-April to mid-October. The dry season begins in November and ends in April. However, with the planet experiencing climate change, a slight fluctuation in the timing of the seasons has been noticed. Generally, the wind blows from the Northeast during the dry season and from the Southwest </w:t>
      </w:r>
      <w:r w:rsidRPr="003F3C2F">
        <w:rPr>
          <w:sz w:val="24"/>
          <w:szCs w:val="24"/>
        </w:rPr>
        <w:lastRenderedPageBreak/>
        <w:t xml:space="preserve">during the rainy season. Wind mileage is normally greatest in the rainy season, sometimes bringing violent storms capable of destroying houses and crops. Liberia has a conventional type of </w:t>
      </w:r>
      <w:r w:rsidR="00A3470E" w:rsidRPr="003F3C2F">
        <w:rPr>
          <w:sz w:val="24"/>
          <w:szCs w:val="24"/>
        </w:rPr>
        <w:t xml:space="preserve">annual </w:t>
      </w:r>
      <w:r w:rsidRPr="003F3C2F">
        <w:rPr>
          <w:sz w:val="24"/>
          <w:szCs w:val="24"/>
        </w:rPr>
        <w:t xml:space="preserve">rainfall of around </w:t>
      </w:r>
      <w:r w:rsidR="00A3470E" w:rsidRPr="003F3C2F">
        <w:rPr>
          <w:sz w:val="24"/>
          <w:szCs w:val="24"/>
        </w:rPr>
        <w:t>117</w:t>
      </w:r>
      <w:r w:rsidRPr="003F3C2F">
        <w:rPr>
          <w:sz w:val="24"/>
          <w:szCs w:val="24"/>
        </w:rPr>
        <w:t xml:space="preserve"> to </w:t>
      </w:r>
      <w:r w:rsidR="00A3470E" w:rsidRPr="003F3C2F">
        <w:rPr>
          <w:sz w:val="24"/>
          <w:szCs w:val="24"/>
        </w:rPr>
        <w:t>119</w:t>
      </w:r>
      <w:r w:rsidRPr="003F3C2F">
        <w:rPr>
          <w:sz w:val="24"/>
          <w:szCs w:val="24"/>
        </w:rPr>
        <w:t xml:space="preserve"> inches.</w:t>
      </w:r>
    </w:p>
    <w:p w14:paraId="1145C0E1" w14:textId="758832A4" w:rsidR="005444E5" w:rsidRPr="003F3C2F" w:rsidRDefault="009A6BAB" w:rsidP="00A3470E">
      <w:pPr>
        <w:pStyle w:val="Heading4"/>
        <w:numPr>
          <w:ilvl w:val="3"/>
          <w:numId w:val="12"/>
        </w:numPr>
        <w:tabs>
          <w:tab w:val="clear" w:pos="1418"/>
        </w:tabs>
        <w:spacing w:before="240" w:after="240" w:line="276" w:lineRule="auto"/>
        <w:ind w:left="1701"/>
      </w:pPr>
      <w:r w:rsidRPr="003F3C2F">
        <w:t xml:space="preserve">Climate Risks, Impacts, and Vulnerability </w:t>
      </w:r>
    </w:p>
    <w:p w14:paraId="31206E92" w14:textId="64C18513" w:rsidR="005444E5" w:rsidRPr="003F3C2F" w:rsidRDefault="005444E5" w:rsidP="007C7CDD">
      <w:pPr>
        <w:pStyle w:val="p1"/>
        <w:spacing w:line="276" w:lineRule="auto"/>
        <w:jc w:val="both"/>
        <w:rPr>
          <w:sz w:val="24"/>
          <w:szCs w:val="24"/>
          <w:lang w:val="en-IN"/>
        </w:rPr>
      </w:pPr>
      <w:r w:rsidRPr="003F3C2F">
        <w:rPr>
          <w:sz w:val="24"/>
          <w:szCs w:val="24"/>
        </w:rPr>
        <w:t>Soil and coastal erosion are another major environmental issue in Liberia, particularly in low-lying areas along the coast. Rising sea levels and human activities such as sand mining have accelerated the rate of coastal erosion. Major coastal cities are vulnerable to flooding and land loss</w:t>
      </w:r>
      <w:r w:rsidR="00640983" w:rsidRPr="003F3C2F">
        <w:rPr>
          <w:sz w:val="24"/>
          <w:szCs w:val="24"/>
        </w:rPr>
        <w:t xml:space="preserve">; </w:t>
      </w:r>
      <w:r w:rsidRPr="003F3C2F">
        <w:rPr>
          <w:sz w:val="24"/>
          <w:szCs w:val="24"/>
        </w:rPr>
        <w:t>this vulnerability threatens infrastructure, homes, and livelihoods. Coastal erosion also impacts</w:t>
      </w:r>
      <w:r w:rsidR="00A3470E" w:rsidRPr="003F3C2F">
        <w:rPr>
          <w:sz w:val="24"/>
          <w:szCs w:val="24"/>
        </w:rPr>
        <w:t xml:space="preserve"> </w:t>
      </w:r>
      <w:r w:rsidRPr="003F3C2F">
        <w:rPr>
          <w:sz w:val="24"/>
          <w:szCs w:val="24"/>
        </w:rPr>
        <w:t>ecosystems such as mangroves, which are crucial spawning sites for fish, habitat</w:t>
      </w:r>
      <w:r w:rsidR="00640983" w:rsidRPr="003F3C2F">
        <w:rPr>
          <w:sz w:val="24"/>
          <w:szCs w:val="24"/>
        </w:rPr>
        <w:t>s</w:t>
      </w:r>
      <w:r w:rsidRPr="003F3C2F">
        <w:rPr>
          <w:sz w:val="24"/>
          <w:szCs w:val="24"/>
        </w:rPr>
        <w:t xml:space="preserve"> for biodiversity, and act as natural buffers against storm surges. Wetlands </w:t>
      </w:r>
      <w:r w:rsidR="00640983" w:rsidRPr="003F3C2F">
        <w:rPr>
          <w:sz w:val="24"/>
          <w:szCs w:val="24"/>
        </w:rPr>
        <w:t>drain in</w:t>
      </w:r>
      <w:r w:rsidRPr="003F3C2F">
        <w:rPr>
          <w:sz w:val="24"/>
          <w:szCs w:val="24"/>
        </w:rPr>
        <w:t xml:space="preserve"> urban areas are prone to flooding, particularly during the rainy season. Inadequate drainage systems, poor urban planning, and the dumping of waste in waterways have made flooding a recurring issue, resulting in property damage, displacement of people, and health risks for urban residents. Climate change is expected to increase the frequency and severity of flooding events.</w:t>
      </w:r>
    </w:p>
    <w:p w14:paraId="694F7CEB" w14:textId="7010ABB9" w:rsidR="005444E5" w:rsidRPr="003F3C2F" w:rsidRDefault="009A6BAB" w:rsidP="00A3470E">
      <w:pPr>
        <w:pStyle w:val="Heading4"/>
        <w:numPr>
          <w:ilvl w:val="3"/>
          <w:numId w:val="12"/>
        </w:numPr>
        <w:tabs>
          <w:tab w:val="clear" w:pos="1418"/>
        </w:tabs>
        <w:spacing w:before="240" w:after="240" w:line="276" w:lineRule="auto"/>
        <w:ind w:left="1701"/>
      </w:pPr>
      <w:r w:rsidRPr="003F3C2F">
        <w:t>Loss and Damage</w:t>
      </w:r>
    </w:p>
    <w:p w14:paraId="480EB9A0" w14:textId="6F1B1CEA" w:rsidR="005444E5" w:rsidRPr="003F3C2F" w:rsidRDefault="005444E5" w:rsidP="00A3470E">
      <w:pPr>
        <w:pStyle w:val="p1"/>
        <w:spacing w:line="276" w:lineRule="auto"/>
        <w:jc w:val="both"/>
        <w:rPr>
          <w:sz w:val="24"/>
          <w:szCs w:val="24"/>
        </w:rPr>
      </w:pPr>
      <w:r w:rsidRPr="003F3C2F">
        <w:rPr>
          <w:sz w:val="24"/>
          <w:szCs w:val="24"/>
        </w:rPr>
        <w:t>According to UNDP (2019), findings of climate risk assessment confirm that climate change is negatively impacting the productivity of the agriculture, forestry, and fisheries sectors and their supply chains in Liberia. For example, climate impacts and hazards impact the agriculture sector through increased crop loss/failure due to extreme weather events, warmer temperatures, droughts, floods, changing rainfall patterns and distributions, increased pests, weeds, and pathogens</w:t>
      </w:r>
      <w:r w:rsidR="00640983" w:rsidRPr="003F3C2F">
        <w:rPr>
          <w:sz w:val="24"/>
          <w:szCs w:val="24"/>
        </w:rPr>
        <w:t>,</w:t>
      </w:r>
      <w:r w:rsidRPr="003F3C2F">
        <w:rPr>
          <w:sz w:val="24"/>
          <w:szCs w:val="24"/>
        </w:rPr>
        <w:t xml:space="preserve"> which result in food insecurity and loss of livelihoods in some communities.</w:t>
      </w:r>
    </w:p>
    <w:p w14:paraId="54C9F805" w14:textId="77777777" w:rsidR="00FD06CD" w:rsidRPr="003F3C2F" w:rsidRDefault="00FD06CD" w:rsidP="00A3470E">
      <w:pPr>
        <w:pStyle w:val="p1"/>
        <w:spacing w:line="276" w:lineRule="auto"/>
        <w:jc w:val="both"/>
        <w:rPr>
          <w:sz w:val="24"/>
          <w:szCs w:val="24"/>
        </w:rPr>
      </w:pPr>
    </w:p>
    <w:p w14:paraId="2CB17219" w14:textId="0DC15AAC" w:rsidR="00FD06CD" w:rsidRPr="003F3C2F" w:rsidRDefault="00FD06CD" w:rsidP="00A3470E">
      <w:pPr>
        <w:pStyle w:val="p1"/>
        <w:spacing w:line="276" w:lineRule="auto"/>
        <w:jc w:val="both"/>
        <w:rPr>
          <w:sz w:val="24"/>
          <w:szCs w:val="24"/>
        </w:rPr>
      </w:pPr>
      <w:r w:rsidRPr="003F3C2F">
        <w:rPr>
          <w:sz w:val="24"/>
          <w:szCs w:val="24"/>
        </w:rPr>
        <w:t>It is posited that the major climate impacts and hazards will be on the agriculture sector through increased crop loss/failure due to extreme weather events, warmer temperatures, droughts, floods, changing rainfall patterns and distributions, increased pests, weeds, and pathogens</w:t>
      </w:r>
      <w:r w:rsidR="00640983" w:rsidRPr="003F3C2F">
        <w:rPr>
          <w:sz w:val="24"/>
          <w:szCs w:val="24"/>
        </w:rPr>
        <w:t>,</w:t>
      </w:r>
      <w:r w:rsidRPr="003F3C2F">
        <w:rPr>
          <w:sz w:val="24"/>
          <w:szCs w:val="24"/>
        </w:rPr>
        <w:t xml:space="preserve"> which will result </w:t>
      </w:r>
      <w:r w:rsidR="00640983" w:rsidRPr="003F3C2F">
        <w:rPr>
          <w:sz w:val="24"/>
          <w:szCs w:val="24"/>
        </w:rPr>
        <w:t>in</w:t>
      </w:r>
      <w:r w:rsidRPr="003F3C2F">
        <w:rPr>
          <w:sz w:val="24"/>
          <w:szCs w:val="24"/>
        </w:rPr>
        <w:t xml:space="preserve"> food insecurity and loss of livelihoods in some communities. </w:t>
      </w:r>
    </w:p>
    <w:p w14:paraId="4C97A873" w14:textId="77777777" w:rsidR="005444E5" w:rsidRPr="003F3C2F" w:rsidRDefault="005444E5" w:rsidP="009A6BAB">
      <w:pPr>
        <w:pStyle w:val="BodyText"/>
        <w:ind w:left="0"/>
        <w:rPr>
          <w:rFonts w:ascii="Times New Roman" w:hAnsi="Times New Roman"/>
          <w:i/>
          <w:iCs/>
          <w:sz w:val="22"/>
          <w:szCs w:val="22"/>
        </w:rPr>
      </w:pPr>
    </w:p>
    <w:p w14:paraId="2128F59C" w14:textId="0C7F4771" w:rsidR="00B52AEA" w:rsidRPr="003F3C2F" w:rsidRDefault="009A6BAB" w:rsidP="00B52AEA">
      <w:pPr>
        <w:pStyle w:val="Heading3"/>
        <w:numPr>
          <w:ilvl w:val="2"/>
          <w:numId w:val="12"/>
        </w:numPr>
        <w:spacing w:before="240" w:after="240" w:line="276" w:lineRule="auto"/>
        <w:ind w:left="709" w:hanging="360"/>
        <w:rPr>
          <w:szCs w:val="28"/>
        </w:rPr>
      </w:pPr>
      <w:bookmarkStart w:id="18" w:name="_Toc199455912"/>
      <w:bookmarkStart w:id="19" w:name="_Toc205444870"/>
      <w:r w:rsidRPr="003F3C2F">
        <w:rPr>
          <w:szCs w:val="28"/>
        </w:rPr>
        <w:t>Contribution to Global GHG Emissions</w:t>
      </w:r>
      <w:bookmarkEnd w:id="18"/>
      <w:bookmarkEnd w:id="19"/>
    </w:p>
    <w:p w14:paraId="2A924DE5" w14:textId="49C31857" w:rsidR="00640983" w:rsidRPr="003F3C2F" w:rsidRDefault="00B52AEA" w:rsidP="00640983">
      <w:pPr>
        <w:spacing w:line="276" w:lineRule="auto"/>
        <w:jc w:val="both"/>
        <w:rPr>
          <w:sz w:val="24"/>
          <w:szCs w:val="24"/>
        </w:rPr>
      </w:pPr>
      <w:r w:rsidRPr="003F3C2F">
        <w:rPr>
          <w:sz w:val="24"/>
          <w:szCs w:val="24"/>
        </w:rPr>
        <w:t xml:space="preserve">Liberia is a low-income country in West Africa with relatively low greenhouse gas emissions compared to industrialized nations (WRI, 2023). The Country’s total greenhouse gas emissions account for approximately 3.5 million metric tons of CO2 equivalent (MtCO2e) in 2019 (World Resources Institute, 2023). The per capita emissions in Liberia are very low, estimated at around 0.5 metric tons CO2e per person per year, compared to the global average of about 6.5 metric tons (World Bank, 2022).  </w:t>
      </w:r>
    </w:p>
    <w:p w14:paraId="682FE5CD" w14:textId="77777777" w:rsidR="00640983" w:rsidRPr="003F3C2F" w:rsidRDefault="00640983" w:rsidP="00640983">
      <w:pPr>
        <w:pStyle w:val="BodyText"/>
        <w:rPr>
          <w:rFonts w:ascii="Times New Roman" w:hAnsi="Times New Roman"/>
        </w:rPr>
      </w:pPr>
    </w:p>
    <w:p w14:paraId="4ADE2C7B" w14:textId="77777777" w:rsidR="00B52AEA" w:rsidRPr="003F3C2F" w:rsidRDefault="00B52AEA" w:rsidP="00640983">
      <w:pPr>
        <w:spacing w:line="276" w:lineRule="auto"/>
        <w:jc w:val="both"/>
        <w:rPr>
          <w:sz w:val="24"/>
          <w:szCs w:val="24"/>
        </w:rPr>
      </w:pPr>
      <w:r w:rsidRPr="003F3C2F">
        <w:rPr>
          <w:sz w:val="24"/>
          <w:szCs w:val="24"/>
        </w:rPr>
        <w:t xml:space="preserve">Liberia’s share of global greenhouse gas emissions is extremely small, accounting for roughly 0.01% or less of total global emissions (Global Carbon Project, 2023). This reflects Liberia’s </w:t>
      </w:r>
      <w:r w:rsidRPr="003F3C2F">
        <w:rPr>
          <w:sz w:val="24"/>
          <w:szCs w:val="24"/>
        </w:rPr>
        <w:lastRenderedPageBreak/>
        <w:t>limited industrial activity and reliance on subsistence agriculture and forestry. The Country’s emissions profile is dominated by land-use change and forestry, including deforestation, which contributes significantly to its carbon footprint. Energy-related emissions are comparatively low due to limited fossil fuel consumption.</w:t>
      </w:r>
    </w:p>
    <w:p w14:paraId="7A3B5814" w14:textId="77777777" w:rsidR="00640983" w:rsidRPr="003F3C2F" w:rsidRDefault="00640983" w:rsidP="00640983">
      <w:pPr>
        <w:pStyle w:val="BodyText"/>
        <w:rPr>
          <w:rFonts w:ascii="Times New Roman" w:hAnsi="Times New Roman"/>
        </w:rPr>
      </w:pPr>
    </w:p>
    <w:p w14:paraId="485D3DA1" w14:textId="77777777" w:rsidR="00B52AEA" w:rsidRPr="003F3C2F" w:rsidRDefault="00B52AEA" w:rsidP="00B52AEA">
      <w:pPr>
        <w:spacing w:line="276" w:lineRule="auto"/>
        <w:jc w:val="both"/>
        <w:rPr>
          <w:sz w:val="24"/>
          <w:szCs w:val="24"/>
        </w:rPr>
      </w:pPr>
      <w:r w:rsidRPr="003F3C2F">
        <w:rPr>
          <w:sz w:val="24"/>
          <w:szCs w:val="24"/>
        </w:rPr>
        <w:t>Liberia’s total greenhouse gas emissions have remained relatively low over the past two decades, reflecting its limited industrialization and energy consumption. The Country’s total emissions were approximately 3.5 million metric tons of CO2 equivalent (MtCO2e) in 2019, up slightly from about 2.8 MtCO2e in 2000.</w:t>
      </w:r>
    </w:p>
    <w:p w14:paraId="3C122640" w14:textId="77777777" w:rsidR="00B52AEA" w:rsidRPr="003F3C2F" w:rsidRDefault="00B52AEA" w:rsidP="00B52AEA">
      <w:pPr>
        <w:pStyle w:val="BodyText"/>
        <w:rPr>
          <w:rFonts w:ascii="Times New Roman" w:hAnsi="Times New Roman"/>
        </w:rPr>
      </w:pPr>
    </w:p>
    <w:p w14:paraId="1F523A25" w14:textId="42F0578D" w:rsidR="00B52AEA" w:rsidRPr="003F3C2F" w:rsidRDefault="00B52AEA" w:rsidP="00781F44">
      <w:pPr>
        <w:pStyle w:val="Heading4"/>
        <w:numPr>
          <w:ilvl w:val="3"/>
          <w:numId w:val="18"/>
        </w:numPr>
      </w:pPr>
      <w:r w:rsidRPr="003F3C2F">
        <w:t>Sectoral Emissions</w:t>
      </w:r>
    </w:p>
    <w:p w14:paraId="2EBAC150" w14:textId="487FF7E6" w:rsidR="00672A10" w:rsidRPr="003F3C2F" w:rsidRDefault="00B52AEA" w:rsidP="00672A10">
      <w:pPr>
        <w:spacing w:line="276" w:lineRule="auto"/>
        <w:jc w:val="both"/>
        <w:rPr>
          <w:color w:val="000000"/>
          <w:sz w:val="17"/>
          <w:szCs w:val="17"/>
          <w:lang w:eastAsia="en-US"/>
        </w:rPr>
      </w:pPr>
      <w:r w:rsidRPr="003F3C2F">
        <w:rPr>
          <w:sz w:val="24"/>
          <w:szCs w:val="24"/>
        </w:rPr>
        <w:t>The main sectors contributing to Liberia’s GHG emissions include</w:t>
      </w:r>
      <w:r w:rsidR="00672A10" w:rsidRPr="003F3C2F">
        <w:rPr>
          <w:sz w:val="24"/>
          <w:szCs w:val="24"/>
        </w:rPr>
        <w:t>, in any particular order of significance, Land Use, Land-Use Change, and Forestry (LULUCF), Agriculture, Energy, and Waste.</w:t>
      </w:r>
      <w:r w:rsidR="00672A10" w:rsidRPr="003F3C2F">
        <w:t xml:space="preserve"> </w:t>
      </w:r>
    </w:p>
    <w:p w14:paraId="112E3486" w14:textId="77777777" w:rsidR="00672A10" w:rsidRPr="003F3C2F" w:rsidRDefault="00672A10" w:rsidP="00672A10">
      <w:pPr>
        <w:pStyle w:val="BodyText"/>
        <w:ind w:left="0"/>
        <w:rPr>
          <w:rFonts w:ascii="Times New Roman" w:hAnsi="Times New Roman"/>
        </w:rPr>
      </w:pPr>
    </w:p>
    <w:p w14:paraId="6E5AC1AA" w14:textId="0EE14256" w:rsidR="00B52AEA" w:rsidRPr="003F3C2F" w:rsidRDefault="00B52AEA" w:rsidP="00781F44">
      <w:pPr>
        <w:pStyle w:val="Heading4"/>
        <w:numPr>
          <w:ilvl w:val="3"/>
          <w:numId w:val="18"/>
        </w:numPr>
      </w:pPr>
      <w:bookmarkStart w:id="20" w:name="OLE_LINK3"/>
      <w:r w:rsidRPr="003F3C2F">
        <w:t>Land Use, Land-Use Change, and Forestry (LULUCF</w:t>
      </w:r>
      <w:bookmarkEnd w:id="20"/>
      <w:r w:rsidRPr="003F3C2F">
        <w:t xml:space="preserve">);   </w:t>
      </w:r>
    </w:p>
    <w:p w14:paraId="2AC48B20" w14:textId="77777777" w:rsidR="00B52AEA" w:rsidRPr="003F3C2F" w:rsidRDefault="00B52AEA" w:rsidP="00B52AEA">
      <w:pPr>
        <w:spacing w:line="276" w:lineRule="auto"/>
        <w:jc w:val="both"/>
        <w:rPr>
          <w:sz w:val="24"/>
          <w:szCs w:val="24"/>
        </w:rPr>
      </w:pPr>
      <w:r w:rsidRPr="003F3C2F">
        <w:rPr>
          <w:sz w:val="24"/>
          <w:szCs w:val="24"/>
        </w:rPr>
        <w:t xml:space="preserve">This sector is the largest source of emissions in Liberia, primarily due to deforestation and forest degradation. Liberia has one of the highest rates of deforestation in West Africa, driven by logging, agriculture expansion, and charcoal production. In 2019, LULUCF accounted for approximately 60-70% of the Country’s total emissions (WRI, 2023). Net emissions from this sector are significant because Liberia’s forests act as both carbon sinks and sources, depending on the balance of deforestation and reforestation. </w:t>
      </w:r>
    </w:p>
    <w:p w14:paraId="511A018C" w14:textId="77777777" w:rsidR="00B52AEA" w:rsidRPr="003F3C2F" w:rsidRDefault="00B52AEA" w:rsidP="00B52AEA">
      <w:pPr>
        <w:spacing w:line="276" w:lineRule="auto"/>
        <w:jc w:val="both"/>
        <w:rPr>
          <w:sz w:val="24"/>
          <w:szCs w:val="24"/>
        </w:rPr>
      </w:pPr>
    </w:p>
    <w:p w14:paraId="6DBA372A" w14:textId="66B45C3A" w:rsidR="00B52AEA" w:rsidRPr="003F3C2F" w:rsidRDefault="00B52AEA" w:rsidP="00781F44">
      <w:pPr>
        <w:pStyle w:val="Heading4"/>
        <w:numPr>
          <w:ilvl w:val="3"/>
          <w:numId w:val="18"/>
        </w:numPr>
      </w:pPr>
      <w:r w:rsidRPr="003F3C2F">
        <w:t>Agriculture Sector</w:t>
      </w:r>
    </w:p>
    <w:p w14:paraId="1BE34843" w14:textId="77777777" w:rsidR="00B52AEA" w:rsidRPr="003F3C2F" w:rsidRDefault="00B52AEA" w:rsidP="00B52AEA">
      <w:pPr>
        <w:spacing w:line="276" w:lineRule="auto"/>
        <w:jc w:val="both"/>
        <w:rPr>
          <w:sz w:val="24"/>
          <w:szCs w:val="24"/>
        </w:rPr>
      </w:pPr>
      <w:r w:rsidRPr="003F3C2F">
        <w:rPr>
          <w:sz w:val="24"/>
          <w:szCs w:val="24"/>
        </w:rPr>
        <w:t>Agriculture contributes to methane (CH4) and nitrous oxide (N2O) emissions through livestock, rice cultivation, and fertilizer use.  The agriculture sector accounts for about 15-20% of the country’s emissions. Small-scale subsistence farming dominates, with limited mechanization.</w:t>
      </w:r>
    </w:p>
    <w:p w14:paraId="7957EB82" w14:textId="135D48C4" w:rsidR="00B52AEA" w:rsidRPr="003F3C2F" w:rsidRDefault="00B52AEA" w:rsidP="00781F44">
      <w:pPr>
        <w:pStyle w:val="Heading4"/>
        <w:numPr>
          <w:ilvl w:val="3"/>
          <w:numId w:val="18"/>
        </w:numPr>
      </w:pPr>
      <w:r w:rsidRPr="003F3C2F">
        <w:t xml:space="preserve">Energy Sector  </w:t>
      </w:r>
    </w:p>
    <w:p w14:paraId="3CF2CAC5" w14:textId="35DC8097" w:rsidR="00B52AEA" w:rsidRPr="003F3C2F" w:rsidRDefault="00B52AEA" w:rsidP="00B52AEA">
      <w:pPr>
        <w:spacing w:line="276" w:lineRule="auto"/>
        <w:jc w:val="both"/>
        <w:rPr>
          <w:sz w:val="24"/>
          <w:szCs w:val="24"/>
        </w:rPr>
      </w:pPr>
      <w:r w:rsidRPr="003F3C2F">
        <w:rPr>
          <w:sz w:val="24"/>
          <w:szCs w:val="24"/>
        </w:rPr>
        <w:t>Liberia’s energy-related emissions are relatively low due to limited fossil fuel use and electricity generation capacity, especially in recent times</w:t>
      </w:r>
      <w:r w:rsidR="0087360F">
        <w:rPr>
          <w:sz w:val="24"/>
          <w:szCs w:val="24"/>
        </w:rPr>
        <w:t>,</w:t>
      </w:r>
      <w:r w:rsidRPr="003F3C2F">
        <w:rPr>
          <w:sz w:val="24"/>
          <w:szCs w:val="24"/>
        </w:rPr>
        <w:t xml:space="preserve"> </w:t>
      </w:r>
      <w:r w:rsidR="0087360F">
        <w:rPr>
          <w:sz w:val="24"/>
          <w:szCs w:val="24"/>
        </w:rPr>
        <w:t>when</w:t>
      </w:r>
      <w:r w:rsidRPr="003F3C2F">
        <w:rPr>
          <w:sz w:val="24"/>
          <w:szCs w:val="24"/>
        </w:rPr>
        <w:t xml:space="preserve"> the country has improved on its energy production and distribution (EPA, 2025). The energy emissions (including electricity generation, transportation, and fuel combustion) contribute roughly 10-15% of total emissions. The country relies heavily on biomass (wood and charcoal) for cooking and heating, which contributes to emissions indirectly through deforestation.</w:t>
      </w:r>
    </w:p>
    <w:p w14:paraId="4959BAA9" w14:textId="2AF84353" w:rsidR="00B52AEA" w:rsidRPr="003F3C2F" w:rsidRDefault="00B52AEA" w:rsidP="00781F44">
      <w:pPr>
        <w:pStyle w:val="Heading4"/>
        <w:numPr>
          <w:ilvl w:val="3"/>
          <w:numId w:val="18"/>
        </w:numPr>
      </w:pPr>
      <w:r w:rsidRPr="003F3C2F">
        <w:lastRenderedPageBreak/>
        <w:t xml:space="preserve">Waste Sector </w:t>
      </w:r>
    </w:p>
    <w:p w14:paraId="243D2CDF" w14:textId="55F7CC01" w:rsidR="00B52AEA" w:rsidRDefault="00B52AEA" w:rsidP="007C7CDD">
      <w:pPr>
        <w:spacing w:line="276" w:lineRule="auto"/>
        <w:jc w:val="both"/>
        <w:rPr>
          <w:sz w:val="24"/>
          <w:szCs w:val="24"/>
        </w:rPr>
      </w:pPr>
      <w:r w:rsidRPr="003F3C2F">
        <w:rPr>
          <w:sz w:val="24"/>
          <w:szCs w:val="24"/>
        </w:rPr>
        <w:t>Waste management is underdeveloped, and methane emissions from landfills and open burning contribute a small share, approximately 5% or less.</w:t>
      </w:r>
    </w:p>
    <w:p w14:paraId="4DB94801" w14:textId="77777777" w:rsidR="0087360F" w:rsidRPr="0087360F" w:rsidRDefault="0087360F" w:rsidP="0087360F">
      <w:pPr>
        <w:pStyle w:val="BodyText"/>
      </w:pPr>
    </w:p>
    <w:p w14:paraId="2B7917E2" w14:textId="4548A167" w:rsidR="008F41B7" w:rsidRPr="003F3C2F" w:rsidRDefault="00FE4745" w:rsidP="00F51FAF">
      <w:pPr>
        <w:pStyle w:val="Heading2"/>
        <w:numPr>
          <w:ilvl w:val="1"/>
          <w:numId w:val="12"/>
        </w:numPr>
        <w:spacing w:before="240" w:after="240" w:line="276" w:lineRule="auto"/>
      </w:pPr>
      <w:bookmarkStart w:id="21" w:name="_Toc205444871"/>
      <w:r w:rsidRPr="003F3C2F">
        <w:t>Policy, Legal and Institutional Frameworks</w:t>
      </w:r>
      <w:bookmarkEnd w:id="21"/>
      <w:r w:rsidRPr="003F3C2F">
        <w:t xml:space="preserve"> </w:t>
      </w:r>
    </w:p>
    <w:p w14:paraId="23D9977D" w14:textId="77777777" w:rsidR="009A6BAB" w:rsidRPr="003F3C2F" w:rsidRDefault="009A6BAB" w:rsidP="009A6BAB">
      <w:pPr>
        <w:pStyle w:val="Heading3"/>
        <w:numPr>
          <w:ilvl w:val="2"/>
          <w:numId w:val="12"/>
        </w:numPr>
        <w:spacing w:before="240" w:after="240" w:line="276" w:lineRule="auto"/>
        <w:ind w:left="709" w:hanging="360"/>
        <w:rPr>
          <w:szCs w:val="28"/>
        </w:rPr>
      </w:pPr>
      <w:bookmarkStart w:id="22" w:name="_Toc199455914"/>
      <w:bookmarkStart w:id="23" w:name="_Toc205444872"/>
      <w:r w:rsidRPr="003F3C2F">
        <w:rPr>
          <w:szCs w:val="28"/>
        </w:rPr>
        <w:t>National Development Priorities</w:t>
      </w:r>
      <w:bookmarkEnd w:id="22"/>
      <w:bookmarkEnd w:id="23"/>
    </w:p>
    <w:p w14:paraId="7F2BD0B0" w14:textId="6366DBF8" w:rsidR="007C5759" w:rsidRPr="003F3C2F" w:rsidRDefault="00A3470E" w:rsidP="007C5759">
      <w:pPr>
        <w:spacing w:line="276" w:lineRule="auto"/>
        <w:jc w:val="both"/>
        <w:rPr>
          <w:sz w:val="24"/>
          <w:szCs w:val="24"/>
        </w:rPr>
      </w:pPr>
      <w:r w:rsidRPr="003F3C2F">
        <w:rPr>
          <w:sz w:val="24"/>
          <w:szCs w:val="24"/>
        </w:rPr>
        <w:t>Liberia</w:t>
      </w:r>
      <w:r w:rsidR="005B2187" w:rsidRPr="003F3C2F">
        <w:rPr>
          <w:sz w:val="24"/>
          <w:szCs w:val="24"/>
        </w:rPr>
        <w:t>’s</w:t>
      </w:r>
      <w:r w:rsidRPr="003F3C2F">
        <w:rPr>
          <w:sz w:val="24"/>
          <w:szCs w:val="24"/>
        </w:rPr>
        <w:t xml:space="preserve"> overall development objective is to transition the country to a middle</w:t>
      </w:r>
      <w:r w:rsidR="005B2187" w:rsidRPr="003F3C2F">
        <w:rPr>
          <w:sz w:val="24"/>
          <w:szCs w:val="24"/>
        </w:rPr>
        <w:t>-</w:t>
      </w:r>
      <w:r w:rsidRPr="003F3C2F">
        <w:rPr>
          <w:sz w:val="24"/>
          <w:szCs w:val="24"/>
        </w:rPr>
        <w:t xml:space="preserve">income status under an economic strategy that is anchored on the principle of sustainable development. </w:t>
      </w:r>
      <w:r w:rsidR="007C5759" w:rsidRPr="003F3C2F">
        <w:rPr>
          <w:sz w:val="24"/>
          <w:szCs w:val="24"/>
        </w:rPr>
        <w:t xml:space="preserve"> The country’s growth direction is influ</w:t>
      </w:r>
      <w:r w:rsidR="005B2187" w:rsidRPr="003F3C2F">
        <w:rPr>
          <w:sz w:val="24"/>
          <w:szCs w:val="24"/>
        </w:rPr>
        <w:t>e</w:t>
      </w:r>
      <w:r w:rsidR="007C5759" w:rsidRPr="003F3C2F">
        <w:rPr>
          <w:sz w:val="24"/>
          <w:szCs w:val="24"/>
        </w:rPr>
        <w:t>nced by the global economic landscape, which focuses on such factors as trade dynamics, technological advancement, and financial stability, all of which affect growth prospects. The macroeconomic framework fosters sustainable economic growth and improves citizens’ well-being amid current global and national challenges. Key priorities include economic diversification, infrastructure development, fiscal consolidation, and social protection, with strong emphasis on strengthening governance and enhancing human capital.</w:t>
      </w:r>
      <w:r w:rsidR="0087360F">
        <w:rPr>
          <w:sz w:val="24"/>
          <w:szCs w:val="24"/>
        </w:rPr>
        <w:t xml:space="preserve"> </w:t>
      </w:r>
      <w:r w:rsidR="00672A10" w:rsidRPr="003F3C2F">
        <w:rPr>
          <w:sz w:val="24"/>
          <w:szCs w:val="24"/>
        </w:rPr>
        <w:t>The country possesses abundant natural resources such as iron ore, gold, and timber, as well as fertile soils for food and cash crops, including cassava, rice, palm oil, rubber,</w:t>
      </w:r>
      <w:r w:rsidR="007C5759" w:rsidRPr="003F3C2F">
        <w:rPr>
          <w:sz w:val="24"/>
          <w:szCs w:val="24"/>
        </w:rPr>
        <w:t xml:space="preserve"> and cocoa, among others. </w:t>
      </w:r>
    </w:p>
    <w:p w14:paraId="7E4A60C3" w14:textId="77777777" w:rsidR="00672A10" w:rsidRPr="003F3C2F" w:rsidRDefault="00672A10" w:rsidP="00672A10">
      <w:pPr>
        <w:pStyle w:val="BodyText"/>
        <w:rPr>
          <w:rFonts w:ascii="Times New Roman" w:hAnsi="Times New Roman"/>
        </w:rPr>
      </w:pPr>
    </w:p>
    <w:p w14:paraId="071359D5" w14:textId="53B65F7E" w:rsidR="00A3470E" w:rsidRPr="003F3C2F" w:rsidRDefault="007C5759" w:rsidP="00012871">
      <w:pPr>
        <w:spacing w:line="276" w:lineRule="auto"/>
        <w:jc w:val="both"/>
        <w:rPr>
          <w:sz w:val="24"/>
          <w:szCs w:val="24"/>
        </w:rPr>
      </w:pPr>
      <w:r w:rsidRPr="003F3C2F">
        <w:rPr>
          <w:sz w:val="24"/>
          <w:szCs w:val="24"/>
        </w:rPr>
        <w:t>About 68% of Liberia is covered in forest, which amounts to approximately 6.6 million hectares of tropical rainforest. This carries huge potential as a sink for GHGs. The country is also well situated within the tropics, receiving abundant sunlight, which could potentially generate renewable energy to drive its economic growth. This is in addition to the s</w:t>
      </w:r>
      <w:r w:rsidR="00672A10" w:rsidRPr="003F3C2F">
        <w:rPr>
          <w:sz w:val="24"/>
          <w:szCs w:val="24"/>
        </w:rPr>
        <w:t>ix</w:t>
      </w:r>
      <w:r w:rsidRPr="003F3C2F">
        <w:rPr>
          <w:sz w:val="24"/>
          <w:szCs w:val="24"/>
        </w:rPr>
        <w:t xml:space="preserve"> (</w:t>
      </w:r>
      <w:r w:rsidR="00672A10" w:rsidRPr="003F3C2F">
        <w:rPr>
          <w:sz w:val="24"/>
          <w:szCs w:val="24"/>
        </w:rPr>
        <w:t>6</w:t>
      </w:r>
      <w:r w:rsidRPr="003F3C2F">
        <w:rPr>
          <w:sz w:val="24"/>
          <w:szCs w:val="24"/>
        </w:rPr>
        <w:t xml:space="preserve">) major rivers and several tributaries with potential to generate hydroelectricity distributed in rural areas, </w:t>
      </w:r>
      <w:r w:rsidR="00672A10" w:rsidRPr="003F3C2F">
        <w:rPr>
          <w:sz w:val="24"/>
          <w:szCs w:val="24"/>
        </w:rPr>
        <w:t>enabl</w:t>
      </w:r>
      <w:r w:rsidRPr="003F3C2F">
        <w:rPr>
          <w:sz w:val="24"/>
          <w:szCs w:val="24"/>
        </w:rPr>
        <w:t>ing the country to sign</w:t>
      </w:r>
      <w:r w:rsidR="00672A10" w:rsidRPr="003F3C2F">
        <w:rPr>
          <w:sz w:val="24"/>
          <w:szCs w:val="24"/>
        </w:rPr>
        <w:t>i</w:t>
      </w:r>
      <w:r w:rsidRPr="003F3C2F">
        <w:rPr>
          <w:sz w:val="24"/>
          <w:szCs w:val="24"/>
        </w:rPr>
        <w:t xml:space="preserve">ficantly reduce its emissions from fuelwood, charcoal, and thermal energy. </w:t>
      </w:r>
    </w:p>
    <w:p w14:paraId="15F7FBD8" w14:textId="77777777" w:rsidR="009A6BAB" w:rsidRPr="003F3C2F" w:rsidRDefault="009A6BAB" w:rsidP="009A6BAB">
      <w:pPr>
        <w:pStyle w:val="Heading3"/>
        <w:numPr>
          <w:ilvl w:val="2"/>
          <w:numId w:val="12"/>
        </w:numPr>
        <w:spacing w:before="240" w:after="240" w:line="276" w:lineRule="auto"/>
        <w:ind w:left="709" w:hanging="360"/>
        <w:rPr>
          <w:szCs w:val="28"/>
        </w:rPr>
      </w:pPr>
      <w:bookmarkStart w:id="24" w:name="_Toc199455915"/>
      <w:bookmarkStart w:id="25" w:name="_Toc205444873"/>
      <w:r w:rsidRPr="003F3C2F">
        <w:rPr>
          <w:szCs w:val="28"/>
        </w:rPr>
        <w:t>Policy and Legal Frameworks</w:t>
      </w:r>
      <w:bookmarkEnd w:id="24"/>
      <w:bookmarkEnd w:id="25"/>
    </w:p>
    <w:p w14:paraId="16F907AE" w14:textId="75CA9ED7" w:rsidR="00A3470E" w:rsidRPr="003F3C2F" w:rsidRDefault="007C5759" w:rsidP="005B2187">
      <w:pPr>
        <w:spacing w:line="276" w:lineRule="auto"/>
        <w:jc w:val="both"/>
        <w:rPr>
          <w:sz w:val="24"/>
          <w:szCs w:val="24"/>
        </w:rPr>
      </w:pPr>
      <w:r w:rsidRPr="003F3C2F">
        <w:rPr>
          <w:sz w:val="24"/>
          <w:szCs w:val="24"/>
        </w:rPr>
        <w:t>Addressing climate change has been a key pillar of the government's overall growth strategy and development agenda. This is reflected in several national policies and strategies</w:t>
      </w:r>
      <w:r w:rsidR="00B91717" w:rsidRPr="003F3C2F">
        <w:rPr>
          <w:sz w:val="24"/>
          <w:szCs w:val="24"/>
        </w:rPr>
        <w:t>,</w:t>
      </w:r>
      <w:r w:rsidRPr="003F3C2F">
        <w:rPr>
          <w:sz w:val="24"/>
          <w:szCs w:val="24"/>
        </w:rPr>
        <w:t xml:space="preserve"> some of which have been listed below:</w:t>
      </w:r>
    </w:p>
    <w:p w14:paraId="10E97B4F" w14:textId="77777777" w:rsidR="00B91717" w:rsidRPr="003F3C2F" w:rsidRDefault="00B91717" w:rsidP="005B2187">
      <w:pPr>
        <w:spacing w:line="276" w:lineRule="auto"/>
        <w:jc w:val="both"/>
        <w:rPr>
          <w:sz w:val="24"/>
          <w:szCs w:val="24"/>
        </w:rPr>
      </w:pPr>
    </w:p>
    <w:p w14:paraId="15EAA35D" w14:textId="167A3A32" w:rsidR="00A3470E" w:rsidRPr="003F3C2F" w:rsidRDefault="00A3470E" w:rsidP="005B2187">
      <w:pPr>
        <w:spacing w:line="276" w:lineRule="auto"/>
        <w:jc w:val="both"/>
        <w:rPr>
          <w:sz w:val="24"/>
          <w:szCs w:val="24"/>
        </w:rPr>
      </w:pPr>
      <w:r w:rsidRPr="003F3C2F">
        <w:rPr>
          <w:b/>
          <w:bCs/>
          <w:sz w:val="24"/>
          <w:szCs w:val="24"/>
          <w:u w:val="single"/>
        </w:rPr>
        <w:t>Liberia Rising Vision 2030:</w:t>
      </w:r>
      <w:r w:rsidRPr="003F3C2F">
        <w:rPr>
          <w:sz w:val="24"/>
          <w:szCs w:val="24"/>
        </w:rPr>
        <w:t xml:space="preserve"> Liberia’s Vision 2030 is an overarching vision of the </w:t>
      </w:r>
      <w:r w:rsidR="00B91717" w:rsidRPr="003F3C2F">
        <w:rPr>
          <w:sz w:val="24"/>
          <w:szCs w:val="24"/>
        </w:rPr>
        <w:t>G</w:t>
      </w:r>
      <w:r w:rsidRPr="003F3C2F">
        <w:rPr>
          <w:sz w:val="24"/>
          <w:szCs w:val="24"/>
        </w:rPr>
        <w:t>overnment of Liberia to</w:t>
      </w:r>
      <w:r w:rsidR="00B91717" w:rsidRPr="003F3C2F">
        <w:rPr>
          <w:sz w:val="24"/>
          <w:szCs w:val="24"/>
        </w:rPr>
        <w:t xml:space="preserve"> achieve middle-income status by 2030. Three (3) successive development plans have been designed under the framework of the Vision 20230 to realize this national objective. The latest being the AAID, which has a timespan of five (5) years, concluding in 2029. </w:t>
      </w:r>
      <w:r w:rsidRPr="003F3C2F">
        <w:rPr>
          <w:sz w:val="24"/>
          <w:szCs w:val="24"/>
        </w:rPr>
        <w:t xml:space="preserve"> </w:t>
      </w:r>
      <w:r w:rsidR="00B91717" w:rsidRPr="003F3C2F">
        <w:rPr>
          <w:sz w:val="24"/>
          <w:szCs w:val="24"/>
        </w:rPr>
        <w:t>Liberia’s Vision 2030 has a</w:t>
      </w:r>
      <w:r w:rsidRPr="003F3C2F">
        <w:rPr>
          <w:sz w:val="24"/>
          <w:szCs w:val="24"/>
        </w:rPr>
        <w:t xml:space="preserve"> range of Pillars, Sector Goals, Strategic Objectives</w:t>
      </w:r>
      <w:r w:rsidR="00B91717" w:rsidRPr="003F3C2F">
        <w:rPr>
          <w:sz w:val="24"/>
          <w:szCs w:val="24"/>
        </w:rPr>
        <w:t>,</w:t>
      </w:r>
      <w:r w:rsidRPr="003F3C2F">
        <w:rPr>
          <w:sz w:val="24"/>
          <w:szCs w:val="24"/>
        </w:rPr>
        <w:t xml:space="preserve"> and Outcome </w:t>
      </w:r>
      <w:r w:rsidRPr="003F3C2F">
        <w:rPr>
          <w:sz w:val="24"/>
          <w:szCs w:val="24"/>
        </w:rPr>
        <w:lastRenderedPageBreak/>
        <w:t>Indicators, which together support the development of adaptation and mitigation capacity in Liberia.</w:t>
      </w:r>
    </w:p>
    <w:p w14:paraId="3BF86884" w14:textId="77777777" w:rsidR="005B2187" w:rsidRPr="003F3C2F" w:rsidRDefault="005B2187" w:rsidP="00B91717">
      <w:pPr>
        <w:pStyle w:val="BodyText"/>
        <w:spacing w:after="0"/>
        <w:ind w:left="0"/>
        <w:rPr>
          <w:rFonts w:ascii="Times New Roman" w:hAnsi="Times New Roman"/>
          <w:sz w:val="22"/>
          <w:szCs w:val="22"/>
        </w:rPr>
      </w:pPr>
    </w:p>
    <w:p w14:paraId="6FF28B87" w14:textId="7B2F3530" w:rsidR="005B2187" w:rsidRPr="003F3C2F" w:rsidRDefault="005B2187" w:rsidP="005B2187">
      <w:pPr>
        <w:pStyle w:val="BodyText"/>
        <w:spacing w:after="0"/>
        <w:ind w:left="0"/>
        <w:rPr>
          <w:rFonts w:ascii="Times New Roman" w:hAnsi="Times New Roman"/>
          <w:sz w:val="24"/>
          <w:szCs w:val="24"/>
        </w:rPr>
      </w:pPr>
      <w:r w:rsidRPr="003F3C2F">
        <w:rPr>
          <w:rFonts w:ascii="Times New Roman" w:hAnsi="Times New Roman"/>
          <w:b/>
          <w:bCs/>
          <w:sz w:val="24"/>
          <w:szCs w:val="24"/>
          <w:u w:val="single"/>
        </w:rPr>
        <w:t>ARREST Agenda for Inclusive Development:</w:t>
      </w:r>
      <w:r w:rsidRPr="003F3C2F">
        <w:rPr>
          <w:rFonts w:ascii="Times New Roman" w:hAnsi="Times New Roman"/>
          <w:sz w:val="24"/>
          <w:szCs w:val="24"/>
        </w:rPr>
        <w:t xml:space="preserve"> the ARREST Agenda for Inclusive Development (AAID) is a five-year plan (2025-2029), which, for the first time in the country’s history, has a new and stand-alone pillar on “environmental sustainability. The goal of this pillar is to “promote responsible management of natural resources, protect biodiversity, and enhance resilience to environmental and climate changes, while fulfilling the country’s Nationally Determined Contributions, supporting economic growth and improving the quality of life for citizens.” The pillar has one strategic policy on climate change with the objective to “develop strategies that enhance climate resilience while reducing GHG emissions from all sources, increasing carbon sinks, and promoting sustainable development.” The AAID has a program on environmental governance, a program on Forestry, Ecosystem Conservation, and Restoration, a program on Renewable Energy, and a Program on Solid Waste Management with several interventions attached to each of these programs.</w:t>
      </w:r>
    </w:p>
    <w:p w14:paraId="61B7772A" w14:textId="77777777" w:rsidR="005B2187" w:rsidRPr="003F3C2F" w:rsidRDefault="005B2187" w:rsidP="00B91717">
      <w:pPr>
        <w:pStyle w:val="BodyText"/>
        <w:spacing w:after="0"/>
        <w:ind w:left="0"/>
        <w:rPr>
          <w:rFonts w:ascii="Times New Roman" w:hAnsi="Times New Roman"/>
          <w:sz w:val="22"/>
          <w:szCs w:val="22"/>
        </w:rPr>
      </w:pPr>
    </w:p>
    <w:p w14:paraId="4E898BBC" w14:textId="24DBE2B5" w:rsidR="005B2187" w:rsidRPr="003F3C2F" w:rsidRDefault="005B2187" w:rsidP="005B2187">
      <w:pPr>
        <w:spacing w:line="276" w:lineRule="auto"/>
        <w:jc w:val="both"/>
        <w:rPr>
          <w:sz w:val="24"/>
          <w:szCs w:val="24"/>
        </w:rPr>
      </w:pPr>
      <w:r w:rsidRPr="003F3C2F">
        <w:rPr>
          <w:b/>
          <w:bCs/>
          <w:sz w:val="24"/>
          <w:szCs w:val="24"/>
          <w:u w:val="single"/>
        </w:rPr>
        <w:t>Environment Protection and Management Law (EPML, 2003):</w:t>
      </w:r>
      <w:r w:rsidRPr="003F3C2F">
        <w:rPr>
          <w:sz w:val="24"/>
          <w:szCs w:val="24"/>
        </w:rPr>
        <w:t xml:space="preserve"> The EPML forms the legal framework for GHG emissions, sustainable development, management and protection of the environment and natural resources by the Environment Protection Agency in partnership with relevant ministries, autonomous agencies, and organizations, as well as in a close and responsive relationship with the people of Liberia. It addresses a wide range of environmental issues, including the authority to regulate GHG emissions in Liberia, environmental impact assessment, guidelines and standards, international obligations, education, and awareness.</w:t>
      </w:r>
    </w:p>
    <w:p w14:paraId="3660A71E" w14:textId="77777777" w:rsidR="00952CEE" w:rsidRPr="003F3C2F" w:rsidRDefault="00952CEE" w:rsidP="00952CEE">
      <w:pPr>
        <w:pStyle w:val="BodyText"/>
        <w:ind w:left="0"/>
        <w:rPr>
          <w:rFonts w:ascii="Times New Roman" w:hAnsi="Times New Roman"/>
        </w:rPr>
      </w:pPr>
    </w:p>
    <w:p w14:paraId="2E460D07" w14:textId="30491025" w:rsidR="00A40EB1" w:rsidRPr="003F3C2F" w:rsidRDefault="00952CEE" w:rsidP="00A40EB1">
      <w:pPr>
        <w:spacing w:line="276" w:lineRule="auto"/>
        <w:jc w:val="both"/>
        <w:rPr>
          <w:sz w:val="24"/>
          <w:szCs w:val="24"/>
        </w:rPr>
      </w:pPr>
      <w:r w:rsidRPr="003F3C2F">
        <w:rPr>
          <w:b/>
          <w:bCs/>
          <w:sz w:val="24"/>
          <w:szCs w:val="24"/>
          <w:u w:val="single"/>
        </w:rPr>
        <w:t>National Environmental Policy (2003):</w:t>
      </w:r>
      <w:r w:rsidRPr="003F3C2F">
        <w:rPr>
          <w:sz w:val="24"/>
          <w:szCs w:val="24"/>
        </w:rPr>
        <w:t xml:space="preserve"> Liberia formulated a national environmental policy to recognize the severe impact of human activities on all components of the natural environment, especially the influences of population dynamics, high density urbanization, and resource exploitation, as well as recognize the critical importance of restoring and maintaining environmental quality for the welfare and development of the people. The aim of the National Environmental Policy is to ensure the improvement of the physical environment, the quality of life of the people, and the economic and social living conditions of the entire</w:t>
      </w:r>
      <w:r w:rsidR="00A40EB1" w:rsidRPr="003F3C2F">
        <w:rPr>
          <w:sz w:val="24"/>
          <w:szCs w:val="24"/>
        </w:rPr>
        <w:t xml:space="preserve"> citizenry. It seeks to ensure reconciliation and coordination between economic development and growth with the sustainable management of natural resources.</w:t>
      </w:r>
    </w:p>
    <w:p w14:paraId="00C51017" w14:textId="77777777" w:rsidR="00326C84" w:rsidRPr="003F3C2F" w:rsidRDefault="00326C84" w:rsidP="00326C84">
      <w:pPr>
        <w:pStyle w:val="BodyText"/>
        <w:spacing w:after="0"/>
        <w:ind w:left="0"/>
        <w:rPr>
          <w:rFonts w:ascii="Times New Roman" w:hAnsi="Times New Roman"/>
          <w:b/>
          <w:bCs/>
          <w:sz w:val="24"/>
          <w:szCs w:val="24"/>
        </w:rPr>
      </w:pPr>
    </w:p>
    <w:p w14:paraId="0B554726" w14:textId="04DFEBBF" w:rsidR="00326C84" w:rsidRPr="003F3C2F" w:rsidRDefault="00326C84" w:rsidP="00326C84">
      <w:pPr>
        <w:pStyle w:val="BodyText"/>
        <w:spacing w:after="0"/>
        <w:ind w:left="0"/>
        <w:rPr>
          <w:rFonts w:ascii="Times New Roman" w:hAnsi="Times New Roman"/>
          <w:b/>
          <w:bCs/>
          <w:sz w:val="24"/>
          <w:szCs w:val="24"/>
        </w:rPr>
      </w:pPr>
      <w:r w:rsidRPr="003F3C2F">
        <w:rPr>
          <w:rFonts w:ascii="Times New Roman" w:hAnsi="Times New Roman"/>
          <w:b/>
          <w:bCs/>
          <w:sz w:val="24"/>
          <w:szCs w:val="24"/>
          <w:u w:val="single"/>
        </w:rPr>
        <w:t>National Adaptation Plan (2020-2030):</w:t>
      </w:r>
      <w:r w:rsidRPr="003F3C2F">
        <w:rPr>
          <w:rFonts w:ascii="Times New Roman" w:hAnsi="Times New Roman"/>
          <w:b/>
          <w:bCs/>
          <w:sz w:val="24"/>
          <w:szCs w:val="24"/>
        </w:rPr>
        <w:t xml:space="preserve"> </w:t>
      </w:r>
      <w:r w:rsidRPr="003F3C2F">
        <w:rPr>
          <w:rFonts w:ascii="Times New Roman" w:hAnsi="Times New Roman"/>
          <w:sz w:val="24"/>
          <w:szCs w:val="24"/>
        </w:rPr>
        <w:t xml:space="preserve">Liberia began the development of the National Adaptation Plan (NAP) in 2015 and finalized it in 2021.  The NAP recognizes that “adaptation requires adequate information on risks and vulnerabilities to identify needs and appropriate adaptation options to reduce risks and build capacity in framing an approach to transformation.” </w:t>
      </w:r>
      <w:r w:rsidRPr="003F3C2F">
        <w:rPr>
          <w:rFonts w:ascii="Times New Roman" w:hAnsi="Times New Roman"/>
          <w:b/>
          <w:bCs/>
          <w:sz w:val="24"/>
          <w:szCs w:val="24"/>
        </w:rPr>
        <w:t xml:space="preserve"> </w:t>
      </w:r>
      <w:r w:rsidRPr="003F3C2F">
        <w:rPr>
          <w:rFonts w:ascii="Times New Roman" w:hAnsi="Times New Roman"/>
          <w:sz w:val="24"/>
          <w:szCs w:val="24"/>
        </w:rPr>
        <w:t>Several adaptation strategies proposed in the NAPs are similar or aligned with those provided in the NDC 3.0. This is useful because it reduces the risk of overlap but promotes complementarity.</w:t>
      </w:r>
    </w:p>
    <w:p w14:paraId="7963B0B4" w14:textId="77777777" w:rsidR="00326C84" w:rsidRPr="003F3C2F" w:rsidRDefault="00326C84" w:rsidP="00326C84">
      <w:pPr>
        <w:overflowPunct/>
        <w:autoSpaceDE/>
        <w:autoSpaceDN/>
        <w:adjustRightInd/>
        <w:spacing w:line="240" w:lineRule="auto"/>
        <w:textAlignment w:val="auto"/>
        <w:rPr>
          <w:color w:val="000000"/>
          <w:sz w:val="17"/>
          <w:szCs w:val="17"/>
          <w:lang w:eastAsia="en-US"/>
        </w:rPr>
      </w:pPr>
    </w:p>
    <w:p w14:paraId="3A2C7CA2" w14:textId="7A18E097" w:rsidR="00326C84" w:rsidRPr="003F3C2F" w:rsidRDefault="00326C84" w:rsidP="00326C84">
      <w:pPr>
        <w:spacing w:line="276" w:lineRule="auto"/>
        <w:jc w:val="both"/>
        <w:rPr>
          <w:sz w:val="24"/>
          <w:szCs w:val="24"/>
        </w:rPr>
      </w:pPr>
      <w:r w:rsidRPr="003F3C2F">
        <w:rPr>
          <w:b/>
          <w:bCs/>
          <w:sz w:val="24"/>
          <w:szCs w:val="24"/>
          <w:u w:val="single"/>
        </w:rPr>
        <w:t>National Policy and Response Strategy on Climate Change (2018):</w:t>
      </w:r>
      <w:r w:rsidRPr="003F3C2F">
        <w:rPr>
          <w:sz w:val="24"/>
          <w:szCs w:val="24"/>
        </w:rPr>
        <w:t xml:space="preserve"> This national policy is a vehicle developed to support climate change adaptation, disaster risk management, and mitigation capacity in Liberia. It focuses on the implementation of Liberia’s commitment to achieving the SDGs, especially Goals 13, 14, and 15, which focus on combating climate change and fostering sustainability. The Climate Change Policy also focuses on achieving Africa’s vision for promoting positive socio-economic transformation (Agenda 2063 adopted in 2013) over the next 50 years. The Agenda 2063 recognizes climate change and natural disasters as major threats to Africa’s development now and in the future.</w:t>
      </w:r>
    </w:p>
    <w:p w14:paraId="61086655" w14:textId="77777777" w:rsidR="00326C84" w:rsidRPr="003F3C2F" w:rsidRDefault="00326C84" w:rsidP="00326C84">
      <w:pPr>
        <w:pStyle w:val="BodyText"/>
        <w:ind w:left="0"/>
        <w:rPr>
          <w:rFonts w:ascii="Times New Roman" w:hAnsi="Times New Roman"/>
        </w:rPr>
      </w:pPr>
    </w:p>
    <w:p w14:paraId="4F3A1DB3" w14:textId="1E5A3528" w:rsidR="00DB5354" w:rsidRPr="003F3C2F" w:rsidRDefault="00326C84" w:rsidP="007C7CDD">
      <w:pPr>
        <w:spacing w:line="276" w:lineRule="auto"/>
        <w:jc w:val="both"/>
        <w:rPr>
          <w:sz w:val="24"/>
          <w:szCs w:val="24"/>
        </w:rPr>
      </w:pPr>
      <w:r w:rsidRPr="003F3C2F">
        <w:rPr>
          <w:b/>
          <w:bCs/>
          <w:sz w:val="24"/>
          <w:szCs w:val="24"/>
          <w:u w:val="single"/>
        </w:rPr>
        <w:t>REDD+ Strategy</w:t>
      </w:r>
      <w:r w:rsidR="00DC6E0B" w:rsidRPr="003F3C2F">
        <w:rPr>
          <w:b/>
          <w:bCs/>
          <w:sz w:val="24"/>
          <w:szCs w:val="24"/>
          <w:u w:val="single"/>
        </w:rPr>
        <w:t xml:space="preserve"> (2016):</w:t>
      </w:r>
      <w:r w:rsidR="00DC6E0B" w:rsidRPr="003F3C2F">
        <w:rPr>
          <w:sz w:val="24"/>
          <w:szCs w:val="24"/>
        </w:rPr>
        <w:t xml:space="preserve"> The REDD+ Strategy was </w:t>
      </w:r>
      <w:r w:rsidR="00DB5354" w:rsidRPr="003F3C2F">
        <w:rPr>
          <w:sz w:val="24"/>
          <w:szCs w:val="24"/>
        </w:rPr>
        <w:t xml:space="preserve">Liberia's first attempt to demonstrate GHG emissions within the forestry sector through various policy options. The strategy lays out interventions, targets, and activities intended to support the government’s efforts in reducing emissions from the forestry sector, promoting forest conservation, enhancing carbon storage, and mitigating forest degradation. The targets in the strategy aligns with the targets described in this NDC 3.0 for the forestry sector. </w:t>
      </w:r>
    </w:p>
    <w:p w14:paraId="31CAD34B" w14:textId="77777777" w:rsidR="007C7CDD" w:rsidRPr="003F3C2F" w:rsidRDefault="007C7CDD" w:rsidP="007C7CDD">
      <w:pPr>
        <w:pStyle w:val="BodyText"/>
        <w:rPr>
          <w:rFonts w:ascii="Times New Roman" w:hAnsi="Times New Roman"/>
        </w:rPr>
      </w:pPr>
    </w:p>
    <w:p w14:paraId="0584BEB2" w14:textId="7695F7CA" w:rsidR="00326C84" w:rsidRPr="003F3C2F" w:rsidRDefault="00326C84" w:rsidP="00952CEE">
      <w:pPr>
        <w:pStyle w:val="BodyText"/>
        <w:ind w:left="0"/>
        <w:rPr>
          <w:rFonts w:ascii="Times New Roman" w:hAnsi="Times New Roman"/>
          <w:b/>
          <w:bCs/>
          <w:sz w:val="24"/>
          <w:szCs w:val="24"/>
        </w:rPr>
      </w:pPr>
      <w:r w:rsidRPr="0087360F">
        <w:rPr>
          <w:rFonts w:ascii="Times New Roman" w:hAnsi="Times New Roman"/>
          <w:b/>
          <w:bCs/>
          <w:sz w:val="24"/>
          <w:szCs w:val="24"/>
          <w:highlight w:val="yellow"/>
          <w:u w:val="single"/>
        </w:rPr>
        <w:t>National Carbon</w:t>
      </w:r>
      <w:r w:rsidR="0087360F" w:rsidRPr="0087360F">
        <w:rPr>
          <w:rFonts w:ascii="Times New Roman" w:hAnsi="Times New Roman"/>
          <w:b/>
          <w:bCs/>
          <w:sz w:val="24"/>
          <w:szCs w:val="24"/>
          <w:highlight w:val="yellow"/>
          <w:u w:val="single"/>
        </w:rPr>
        <w:t xml:space="preserve"> Development</w:t>
      </w:r>
      <w:r w:rsidRPr="0087360F">
        <w:rPr>
          <w:rFonts w:ascii="Times New Roman" w:hAnsi="Times New Roman"/>
          <w:b/>
          <w:bCs/>
          <w:sz w:val="24"/>
          <w:szCs w:val="24"/>
          <w:highlight w:val="yellow"/>
          <w:u w:val="single"/>
        </w:rPr>
        <w:t xml:space="preserve"> Policy</w:t>
      </w:r>
      <w:r w:rsidRPr="003F3C2F">
        <w:rPr>
          <w:rFonts w:ascii="Times New Roman" w:hAnsi="Times New Roman"/>
          <w:b/>
          <w:bCs/>
          <w:sz w:val="24"/>
          <w:szCs w:val="24"/>
          <w:highlight w:val="yellow"/>
        </w:rPr>
        <w:t xml:space="preserve"> (</w:t>
      </w:r>
      <w:r w:rsidRPr="0087360F">
        <w:rPr>
          <w:rFonts w:ascii="Times New Roman" w:hAnsi="Times New Roman"/>
          <w:sz w:val="24"/>
          <w:szCs w:val="24"/>
          <w:highlight w:val="yellow"/>
        </w:rPr>
        <w:t>placeholder for final version if the policy is endorsed</w:t>
      </w:r>
      <w:r w:rsidR="00672A10" w:rsidRPr="0087360F">
        <w:rPr>
          <w:rFonts w:ascii="Times New Roman" w:hAnsi="Times New Roman"/>
          <w:sz w:val="24"/>
          <w:szCs w:val="24"/>
          <w:highlight w:val="yellow"/>
        </w:rPr>
        <w:t xml:space="preserve"> before the validation of the NDC 3.0</w:t>
      </w:r>
      <w:r w:rsidRPr="003F3C2F">
        <w:rPr>
          <w:rFonts w:ascii="Times New Roman" w:hAnsi="Times New Roman"/>
          <w:b/>
          <w:bCs/>
          <w:sz w:val="24"/>
          <w:szCs w:val="24"/>
          <w:highlight w:val="yellow"/>
        </w:rPr>
        <w:t>)</w:t>
      </w:r>
    </w:p>
    <w:p w14:paraId="08139987" w14:textId="77777777" w:rsidR="005B2187" w:rsidRPr="003F3C2F" w:rsidRDefault="005B2187" w:rsidP="00B91717">
      <w:pPr>
        <w:pStyle w:val="BodyText"/>
        <w:spacing w:after="0"/>
        <w:ind w:left="0"/>
        <w:rPr>
          <w:rFonts w:ascii="Times New Roman" w:hAnsi="Times New Roman"/>
          <w:sz w:val="22"/>
          <w:szCs w:val="22"/>
        </w:rPr>
      </w:pPr>
    </w:p>
    <w:p w14:paraId="50980D6B" w14:textId="77777777" w:rsidR="005B2187" w:rsidRPr="003F3C2F" w:rsidRDefault="005B2187" w:rsidP="00B91717">
      <w:pPr>
        <w:pStyle w:val="BodyText"/>
        <w:spacing w:after="0"/>
        <w:ind w:left="0"/>
        <w:rPr>
          <w:rFonts w:ascii="Times New Roman" w:hAnsi="Times New Roman"/>
          <w:sz w:val="22"/>
          <w:szCs w:val="22"/>
        </w:rPr>
      </w:pPr>
    </w:p>
    <w:p w14:paraId="55E2F86A" w14:textId="77777777" w:rsidR="00A3470E" w:rsidRPr="003F3C2F" w:rsidRDefault="00A3470E" w:rsidP="009A6BAB">
      <w:pPr>
        <w:pStyle w:val="BodyText"/>
        <w:ind w:left="0"/>
        <w:rPr>
          <w:rFonts w:ascii="Times New Roman" w:hAnsi="Times New Roman"/>
          <w:i/>
          <w:iCs/>
          <w:sz w:val="22"/>
          <w:szCs w:val="22"/>
        </w:rPr>
      </w:pPr>
    </w:p>
    <w:p w14:paraId="3544839F" w14:textId="074BD1C2" w:rsidR="00DB304B" w:rsidRPr="003F3C2F" w:rsidRDefault="009A6BAB" w:rsidP="00DB304B">
      <w:pPr>
        <w:pStyle w:val="Heading3"/>
        <w:numPr>
          <w:ilvl w:val="2"/>
          <w:numId w:val="12"/>
        </w:numPr>
        <w:spacing w:before="240" w:after="240" w:line="276" w:lineRule="auto"/>
        <w:ind w:left="709" w:hanging="360"/>
        <w:rPr>
          <w:szCs w:val="28"/>
        </w:rPr>
      </w:pPr>
      <w:bookmarkStart w:id="26" w:name="_Toc199455916"/>
      <w:bookmarkStart w:id="27" w:name="_Toc205444874"/>
      <w:r w:rsidRPr="003F3C2F">
        <w:rPr>
          <w:szCs w:val="28"/>
        </w:rPr>
        <w:t>Institutional Framework</w:t>
      </w:r>
      <w:bookmarkEnd w:id="26"/>
      <w:bookmarkEnd w:id="27"/>
      <w:r w:rsidRPr="003F3C2F">
        <w:rPr>
          <w:szCs w:val="28"/>
        </w:rPr>
        <w:t xml:space="preserve"> </w:t>
      </w:r>
    </w:p>
    <w:p w14:paraId="52166F54" w14:textId="4AE8E9DE" w:rsidR="005517F6" w:rsidRPr="003F3C2F" w:rsidRDefault="00DB304B" w:rsidP="005517F6">
      <w:pPr>
        <w:overflowPunct/>
        <w:autoSpaceDE/>
        <w:autoSpaceDN/>
        <w:adjustRightInd/>
        <w:spacing w:line="276" w:lineRule="auto"/>
        <w:jc w:val="both"/>
        <w:textAlignment w:val="auto"/>
        <w:rPr>
          <w:sz w:val="24"/>
          <w:szCs w:val="24"/>
        </w:rPr>
      </w:pPr>
      <w:r w:rsidRPr="003F3C2F">
        <w:rPr>
          <w:sz w:val="24"/>
          <w:szCs w:val="24"/>
        </w:rPr>
        <w:t>The National Climate Change Steering Committee (NCCSC) is the supreme institutional body responsible</w:t>
      </w:r>
      <w:r w:rsidR="005517F6" w:rsidRPr="003F3C2F">
        <w:rPr>
          <w:sz w:val="24"/>
          <w:szCs w:val="24"/>
        </w:rPr>
        <w:t xml:space="preserve"> f</w:t>
      </w:r>
      <w:r w:rsidRPr="003F3C2F">
        <w:rPr>
          <w:sz w:val="24"/>
          <w:szCs w:val="24"/>
        </w:rPr>
        <w:t xml:space="preserve">or coordinating and supervising the implementation of </w:t>
      </w:r>
      <w:r w:rsidR="005517F6" w:rsidRPr="003F3C2F">
        <w:rPr>
          <w:sz w:val="24"/>
          <w:szCs w:val="24"/>
        </w:rPr>
        <w:t xml:space="preserve">Liberia’s </w:t>
      </w:r>
      <w:r w:rsidRPr="003F3C2F">
        <w:rPr>
          <w:sz w:val="24"/>
          <w:szCs w:val="24"/>
        </w:rPr>
        <w:t xml:space="preserve">climate change </w:t>
      </w:r>
      <w:r w:rsidR="005517F6" w:rsidRPr="003F3C2F">
        <w:rPr>
          <w:sz w:val="24"/>
          <w:szCs w:val="24"/>
        </w:rPr>
        <w:t>agenda</w:t>
      </w:r>
      <w:r w:rsidRPr="003F3C2F">
        <w:rPr>
          <w:sz w:val="24"/>
          <w:szCs w:val="24"/>
        </w:rPr>
        <w:t xml:space="preserve"> and other related activities.</w:t>
      </w:r>
      <w:r w:rsidR="005517F6" w:rsidRPr="003F3C2F">
        <w:rPr>
          <w:sz w:val="24"/>
          <w:szCs w:val="24"/>
        </w:rPr>
        <w:t xml:space="preserve"> It comprises a cross-representation of institutions, including:</w:t>
      </w:r>
    </w:p>
    <w:p w14:paraId="441A7170" w14:textId="77777777" w:rsidR="00672A10" w:rsidRPr="003F3C2F" w:rsidRDefault="00672A10" w:rsidP="00672A10">
      <w:pPr>
        <w:pStyle w:val="BodyText"/>
        <w:rPr>
          <w:rFonts w:ascii="Times New Roman" w:hAnsi="Times New Roman"/>
          <w:sz w:val="4"/>
          <w:szCs w:val="4"/>
        </w:rPr>
      </w:pPr>
    </w:p>
    <w:p w14:paraId="480B729E" w14:textId="490ADE11"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Ministry of Finance and Development Planning</w:t>
      </w:r>
    </w:p>
    <w:p w14:paraId="135D6047" w14:textId="77777777"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Ministry of Mines and Energy</w:t>
      </w:r>
    </w:p>
    <w:p w14:paraId="5E2989BC" w14:textId="77777777"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Ministry of Agriculture</w:t>
      </w:r>
    </w:p>
    <w:p w14:paraId="248D289C" w14:textId="40F62112"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Ministry of Information, Culture and Tourism</w:t>
      </w:r>
    </w:p>
    <w:p w14:paraId="587D6244" w14:textId="670C7987"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Ministry of Internal Affairs</w:t>
      </w:r>
    </w:p>
    <w:p w14:paraId="0C698AA4" w14:textId="77777777"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Environmental Protection Agency</w:t>
      </w:r>
    </w:p>
    <w:p w14:paraId="65577410" w14:textId="77777777"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Forestry Development Agency</w:t>
      </w:r>
    </w:p>
    <w:p w14:paraId="3CA88D43" w14:textId="6BB09C3F"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Liberia Land Authority</w:t>
      </w:r>
    </w:p>
    <w:p w14:paraId="4260E67E" w14:textId="20A19EF5"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National Disaster Management Agency</w:t>
      </w:r>
    </w:p>
    <w:p w14:paraId="1212A489" w14:textId="33D680EE" w:rsidR="005517F6" w:rsidRPr="003F3C2F" w:rsidRDefault="005517F6" w:rsidP="00781F44">
      <w:pPr>
        <w:pStyle w:val="ListParagraph"/>
        <w:numPr>
          <w:ilvl w:val="0"/>
          <w:numId w:val="20"/>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National Civil Society Council of Liberia</w:t>
      </w:r>
    </w:p>
    <w:p w14:paraId="0286C2C4" w14:textId="77777777" w:rsidR="005517F6" w:rsidRPr="003F3C2F" w:rsidRDefault="005517F6" w:rsidP="005517F6">
      <w:pPr>
        <w:spacing w:line="276" w:lineRule="auto"/>
        <w:jc w:val="both"/>
        <w:rPr>
          <w:color w:val="000000"/>
          <w:sz w:val="24"/>
          <w:szCs w:val="24"/>
        </w:rPr>
      </w:pPr>
    </w:p>
    <w:p w14:paraId="64772E63" w14:textId="7B799645" w:rsidR="00DB304B" w:rsidRPr="003F3C2F" w:rsidRDefault="00DB304B" w:rsidP="005517F6">
      <w:pPr>
        <w:spacing w:line="276" w:lineRule="auto"/>
        <w:jc w:val="both"/>
        <w:rPr>
          <w:color w:val="000000"/>
          <w:sz w:val="24"/>
          <w:szCs w:val="24"/>
        </w:rPr>
      </w:pPr>
      <w:r w:rsidRPr="003F3C2F">
        <w:rPr>
          <w:color w:val="000000"/>
          <w:sz w:val="24"/>
          <w:szCs w:val="24"/>
        </w:rPr>
        <w:lastRenderedPageBreak/>
        <w:t>The NCCSC is chaired by the office of the President of the Republic of Liberia, or his/her designate, and supported through a National Climate Change Secretariat seated at the EPA to ensure the implementation of its daily activities.</w:t>
      </w:r>
    </w:p>
    <w:p w14:paraId="4F4AADFE" w14:textId="77777777" w:rsidR="00DB304B" w:rsidRPr="003F3C2F" w:rsidRDefault="00DB304B" w:rsidP="005517F6">
      <w:pPr>
        <w:overflowPunct/>
        <w:autoSpaceDE/>
        <w:autoSpaceDN/>
        <w:adjustRightInd/>
        <w:spacing w:line="276" w:lineRule="auto"/>
        <w:jc w:val="both"/>
        <w:textAlignment w:val="auto"/>
        <w:rPr>
          <w:color w:val="000000"/>
          <w:sz w:val="24"/>
          <w:szCs w:val="24"/>
          <w:lang w:eastAsia="en-US"/>
        </w:rPr>
      </w:pPr>
    </w:p>
    <w:p w14:paraId="42945170" w14:textId="724FE529" w:rsidR="00DB304B" w:rsidRPr="003F3C2F" w:rsidRDefault="00DB304B" w:rsidP="005517F6">
      <w:pPr>
        <w:overflowPunct/>
        <w:autoSpaceDE/>
        <w:autoSpaceDN/>
        <w:adjustRightInd/>
        <w:spacing w:line="276" w:lineRule="auto"/>
        <w:jc w:val="both"/>
        <w:textAlignment w:val="auto"/>
        <w:rPr>
          <w:color w:val="000000"/>
          <w:sz w:val="24"/>
          <w:szCs w:val="24"/>
          <w:lang w:eastAsia="en-US"/>
        </w:rPr>
      </w:pPr>
      <w:r w:rsidRPr="003F3C2F">
        <w:rPr>
          <w:color w:val="000000"/>
          <w:sz w:val="24"/>
          <w:szCs w:val="24"/>
          <w:lang w:eastAsia="en-US"/>
        </w:rPr>
        <w:t>The EPA is Liberia’s Designated National Authority for the UNFCCC and has the mandate as the national</w:t>
      </w:r>
      <w:r w:rsidR="005517F6" w:rsidRPr="003F3C2F">
        <w:rPr>
          <w:color w:val="000000"/>
          <w:sz w:val="24"/>
          <w:szCs w:val="24"/>
          <w:lang w:eastAsia="en-US"/>
        </w:rPr>
        <w:t xml:space="preserve"> </w:t>
      </w:r>
      <w:r w:rsidRPr="003F3C2F">
        <w:rPr>
          <w:color w:val="000000"/>
          <w:sz w:val="24"/>
          <w:szCs w:val="24"/>
          <w:lang w:eastAsia="en-US"/>
        </w:rPr>
        <w:t xml:space="preserve">regulatory agency for sustainable environmental management, including climate change.  The </w:t>
      </w:r>
      <w:r w:rsidRPr="003F3C2F">
        <w:rPr>
          <w:sz w:val="24"/>
          <w:szCs w:val="24"/>
        </w:rPr>
        <w:t>EPML, in section 36(1)(c)</w:t>
      </w:r>
      <w:r w:rsidR="0087360F">
        <w:rPr>
          <w:sz w:val="24"/>
          <w:szCs w:val="24"/>
        </w:rPr>
        <w:t>,</w:t>
      </w:r>
      <w:r w:rsidRPr="003F3C2F">
        <w:rPr>
          <w:sz w:val="24"/>
          <w:szCs w:val="24"/>
        </w:rPr>
        <w:t xml:space="preserve"> makes  specific reference to the EPA, authorizing it to </w:t>
      </w:r>
      <w:r w:rsidRPr="003F3C2F">
        <w:rPr>
          <w:b/>
          <w:bCs/>
          <w:i/>
          <w:iCs/>
          <w:sz w:val="24"/>
          <w:szCs w:val="24"/>
        </w:rPr>
        <w:t>“make guidelines to minimize emissions of greenhouse gases and identify appropriate technologies to minimize air pollution</w:t>
      </w:r>
      <w:r w:rsidRPr="003F3C2F">
        <w:rPr>
          <w:sz w:val="24"/>
          <w:szCs w:val="24"/>
        </w:rPr>
        <w:t xml:space="preserve">.” This authority to regulate GHG emissions and coordinate the country’s climate agenda is supported in many other local legislations. </w:t>
      </w:r>
    </w:p>
    <w:p w14:paraId="0D90DDFB" w14:textId="77777777" w:rsidR="00DB304B" w:rsidRPr="003F3C2F" w:rsidRDefault="00DB304B" w:rsidP="005517F6">
      <w:pPr>
        <w:overflowPunct/>
        <w:autoSpaceDE/>
        <w:autoSpaceDN/>
        <w:adjustRightInd/>
        <w:spacing w:line="276" w:lineRule="auto"/>
        <w:jc w:val="both"/>
        <w:textAlignment w:val="auto"/>
        <w:rPr>
          <w:color w:val="000000"/>
          <w:sz w:val="24"/>
          <w:szCs w:val="24"/>
          <w:lang w:eastAsia="en-US"/>
        </w:rPr>
      </w:pPr>
    </w:p>
    <w:p w14:paraId="2993A440" w14:textId="20110458" w:rsidR="005517F6" w:rsidRPr="003F3C2F" w:rsidRDefault="00DB304B" w:rsidP="005517F6">
      <w:pPr>
        <w:overflowPunct/>
        <w:autoSpaceDE/>
        <w:autoSpaceDN/>
        <w:adjustRightInd/>
        <w:spacing w:line="276" w:lineRule="auto"/>
        <w:jc w:val="both"/>
        <w:textAlignment w:val="auto"/>
        <w:rPr>
          <w:color w:val="000000"/>
          <w:sz w:val="24"/>
          <w:szCs w:val="24"/>
          <w:lang w:eastAsia="en-US"/>
        </w:rPr>
      </w:pPr>
      <w:r w:rsidRPr="003F3C2F">
        <w:rPr>
          <w:color w:val="000000"/>
          <w:sz w:val="24"/>
          <w:szCs w:val="24"/>
          <w:lang w:eastAsia="en-US"/>
        </w:rPr>
        <w:t>Furthermore, section 5 of the Act Creating the Environment Protection Agency of the Republic of Liberia of 2002 mandates the Agency to:</w:t>
      </w:r>
    </w:p>
    <w:p w14:paraId="045C6408" w14:textId="77777777" w:rsidR="005517F6" w:rsidRPr="003F3C2F" w:rsidRDefault="005517F6" w:rsidP="005517F6">
      <w:pPr>
        <w:pStyle w:val="BodyText"/>
        <w:spacing w:after="0"/>
        <w:rPr>
          <w:rFonts w:ascii="Times New Roman" w:hAnsi="Times New Roman"/>
          <w:sz w:val="10"/>
          <w:szCs w:val="10"/>
          <w:lang w:eastAsia="en-US"/>
        </w:rPr>
      </w:pPr>
    </w:p>
    <w:p w14:paraId="402BBAE8" w14:textId="0EAB02DD" w:rsidR="00DB304B" w:rsidRPr="003F3C2F" w:rsidRDefault="00DB304B" w:rsidP="00781F44">
      <w:pPr>
        <w:pStyle w:val="ListParagraph"/>
        <w:numPr>
          <w:ilvl w:val="0"/>
          <w:numId w:val="19"/>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collaborate with key line ministries and agencies to coordinate, integrate, harmonize</w:t>
      </w:r>
      <w:r w:rsidR="005517F6" w:rsidRPr="003F3C2F">
        <w:rPr>
          <w:rFonts w:ascii="Times New Roman" w:hAnsi="Times New Roman" w:cs="Times New Roman"/>
          <w:color w:val="000000"/>
          <w:sz w:val="24"/>
          <w:szCs w:val="24"/>
        </w:rPr>
        <w:t>,</w:t>
      </w:r>
      <w:r w:rsidRPr="003F3C2F">
        <w:rPr>
          <w:rFonts w:ascii="Times New Roman" w:hAnsi="Times New Roman" w:cs="Times New Roman"/>
          <w:color w:val="000000"/>
          <w:sz w:val="24"/>
          <w:szCs w:val="24"/>
        </w:rPr>
        <w:t xml:space="preserve"> and monitor the implementation of environmental policy and integrate environmental concerns in overall national development planning.</w:t>
      </w:r>
    </w:p>
    <w:p w14:paraId="08B09F3E" w14:textId="77777777" w:rsidR="005517F6" w:rsidRPr="003F3C2F" w:rsidRDefault="005517F6" w:rsidP="005517F6">
      <w:pPr>
        <w:pStyle w:val="ListParagraph"/>
        <w:spacing w:after="0"/>
        <w:jc w:val="both"/>
        <w:rPr>
          <w:rFonts w:ascii="Times New Roman" w:hAnsi="Times New Roman" w:cs="Times New Roman"/>
          <w:color w:val="000000"/>
          <w:sz w:val="16"/>
          <w:szCs w:val="16"/>
        </w:rPr>
      </w:pPr>
    </w:p>
    <w:p w14:paraId="1A742156" w14:textId="5C553C9C" w:rsidR="005517F6" w:rsidRPr="003F3C2F" w:rsidRDefault="00DB304B" w:rsidP="00781F44">
      <w:pPr>
        <w:pStyle w:val="ListParagraph"/>
        <w:numPr>
          <w:ilvl w:val="0"/>
          <w:numId w:val="19"/>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Collect, collate, and analyse basic scientific data and other information pertaining to pollution, degradation of ecosystems</w:t>
      </w:r>
      <w:r w:rsidR="0087360F">
        <w:rPr>
          <w:rFonts w:ascii="Times New Roman" w:hAnsi="Times New Roman" w:cs="Times New Roman"/>
          <w:color w:val="000000"/>
          <w:sz w:val="24"/>
          <w:szCs w:val="24"/>
        </w:rPr>
        <w:t>,</w:t>
      </w:r>
      <w:r w:rsidRPr="003F3C2F">
        <w:rPr>
          <w:rFonts w:ascii="Times New Roman" w:hAnsi="Times New Roman" w:cs="Times New Roman"/>
          <w:color w:val="000000"/>
          <w:sz w:val="24"/>
          <w:szCs w:val="24"/>
        </w:rPr>
        <w:t xml:space="preserve"> and environmental quality and resource use.</w:t>
      </w:r>
    </w:p>
    <w:p w14:paraId="60B1A782" w14:textId="77777777" w:rsidR="005517F6" w:rsidRPr="003F3C2F" w:rsidRDefault="005517F6" w:rsidP="005517F6">
      <w:pPr>
        <w:pStyle w:val="ListParagraph"/>
        <w:spacing w:after="0"/>
        <w:jc w:val="both"/>
        <w:rPr>
          <w:rFonts w:ascii="Times New Roman" w:hAnsi="Times New Roman" w:cs="Times New Roman"/>
          <w:color w:val="000000"/>
          <w:sz w:val="16"/>
          <w:szCs w:val="16"/>
        </w:rPr>
      </w:pPr>
    </w:p>
    <w:p w14:paraId="173E0F26" w14:textId="77777777" w:rsidR="00DB304B" w:rsidRPr="003F3C2F" w:rsidRDefault="00DB304B" w:rsidP="00781F44">
      <w:pPr>
        <w:pStyle w:val="ListParagraph"/>
        <w:numPr>
          <w:ilvl w:val="0"/>
          <w:numId w:val="19"/>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Train and build the capacity of line ministries and agencies.</w:t>
      </w:r>
    </w:p>
    <w:p w14:paraId="0F01AC59" w14:textId="77777777" w:rsidR="005517F6" w:rsidRPr="003F3C2F" w:rsidRDefault="005517F6" w:rsidP="005517F6">
      <w:pPr>
        <w:pStyle w:val="ListParagraph"/>
        <w:spacing w:after="0"/>
        <w:jc w:val="both"/>
        <w:rPr>
          <w:rFonts w:ascii="Times New Roman" w:hAnsi="Times New Roman" w:cs="Times New Roman"/>
          <w:color w:val="000000"/>
          <w:sz w:val="24"/>
          <w:szCs w:val="24"/>
        </w:rPr>
      </w:pPr>
    </w:p>
    <w:p w14:paraId="413E63DF" w14:textId="4ADB57D2" w:rsidR="00DB304B" w:rsidRPr="003F3C2F" w:rsidRDefault="00DB304B" w:rsidP="00781F44">
      <w:pPr>
        <w:pStyle w:val="ListParagraph"/>
        <w:numPr>
          <w:ilvl w:val="0"/>
          <w:numId w:val="19"/>
        </w:numPr>
        <w:spacing w:after="0"/>
        <w:jc w:val="both"/>
        <w:rPr>
          <w:rFonts w:ascii="Times New Roman" w:hAnsi="Times New Roman" w:cs="Times New Roman"/>
          <w:color w:val="000000"/>
          <w:sz w:val="24"/>
          <w:szCs w:val="24"/>
        </w:rPr>
      </w:pPr>
      <w:r w:rsidRPr="003F3C2F">
        <w:rPr>
          <w:rFonts w:ascii="Times New Roman" w:hAnsi="Times New Roman" w:cs="Times New Roman"/>
          <w:color w:val="000000"/>
          <w:sz w:val="24"/>
          <w:szCs w:val="24"/>
        </w:rPr>
        <w:t>Ensure the preservation and promotion of important historic, cultural, and spiritual values of natural resource heritage.</w:t>
      </w:r>
    </w:p>
    <w:p w14:paraId="338377C5" w14:textId="77777777" w:rsidR="005517F6" w:rsidRPr="003F3C2F" w:rsidRDefault="005517F6" w:rsidP="005517F6">
      <w:pPr>
        <w:jc w:val="both"/>
        <w:rPr>
          <w:color w:val="000000"/>
          <w:sz w:val="12"/>
          <w:szCs w:val="12"/>
        </w:rPr>
      </w:pPr>
    </w:p>
    <w:p w14:paraId="5AF70170" w14:textId="06B3A8D8" w:rsidR="00DB304B" w:rsidRPr="003F3C2F" w:rsidRDefault="00DB304B" w:rsidP="005517F6">
      <w:pPr>
        <w:overflowPunct/>
        <w:autoSpaceDE/>
        <w:autoSpaceDN/>
        <w:adjustRightInd/>
        <w:spacing w:line="276" w:lineRule="auto"/>
        <w:jc w:val="both"/>
        <w:textAlignment w:val="auto"/>
        <w:rPr>
          <w:color w:val="000000"/>
          <w:sz w:val="24"/>
          <w:szCs w:val="24"/>
          <w:lang w:eastAsia="en-US"/>
        </w:rPr>
      </w:pPr>
      <w:r w:rsidRPr="003F3C2F">
        <w:rPr>
          <w:color w:val="000000"/>
          <w:sz w:val="24"/>
          <w:szCs w:val="24"/>
          <w:lang w:eastAsia="en-US"/>
        </w:rPr>
        <w:t>To achieve its statutory mandate and other obligations, the EPA collaborates with several key entities</w:t>
      </w:r>
      <w:r w:rsidR="005517F6" w:rsidRPr="003F3C2F">
        <w:rPr>
          <w:color w:val="000000"/>
          <w:sz w:val="24"/>
          <w:szCs w:val="24"/>
          <w:lang w:eastAsia="en-US"/>
        </w:rPr>
        <w:t>,</w:t>
      </w:r>
      <w:r w:rsidRPr="003F3C2F">
        <w:rPr>
          <w:color w:val="000000"/>
          <w:sz w:val="24"/>
          <w:szCs w:val="24"/>
          <w:lang w:eastAsia="en-US"/>
        </w:rPr>
        <w:t xml:space="preserve"> including the Ministry of Finance and Development Planning</w:t>
      </w:r>
      <w:r w:rsidR="005517F6" w:rsidRPr="003F3C2F">
        <w:rPr>
          <w:color w:val="000000"/>
          <w:sz w:val="24"/>
          <w:szCs w:val="24"/>
          <w:lang w:eastAsia="en-US"/>
        </w:rPr>
        <w:t>,</w:t>
      </w:r>
      <w:r w:rsidRPr="003F3C2F">
        <w:rPr>
          <w:color w:val="000000"/>
          <w:sz w:val="24"/>
          <w:szCs w:val="24"/>
          <w:lang w:eastAsia="en-US"/>
        </w:rPr>
        <w:t xml:space="preserve"> which serves as chair of the EPA’s Board, Forestry Development Authority, Ministry of Agriculture, National Disaster Management Agency, Ministry of Mines and Energy, </w:t>
      </w:r>
      <w:r w:rsidR="0087360F">
        <w:rPr>
          <w:color w:val="000000"/>
          <w:sz w:val="24"/>
          <w:szCs w:val="24"/>
          <w:lang w:eastAsia="en-US"/>
        </w:rPr>
        <w:t xml:space="preserve">and </w:t>
      </w:r>
      <w:r w:rsidRPr="003F3C2F">
        <w:rPr>
          <w:color w:val="000000"/>
          <w:sz w:val="24"/>
          <w:szCs w:val="24"/>
          <w:lang w:eastAsia="en-US"/>
        </w:rPr>
        <w:t>Ministry of Internal Affairs, among others. This collaboration extends to the fulfilment of Liberia’s commitment to the Paris Agreement</w:t>
      </w:r>
      <w:r w:rsidR="005517F6" w:rsidRPr="003F3C2F">
        <w:rPr>
          <w:color w:val="000000"/>
          <w:sz w:val="24"/>
          <w:szCs w:val="24"/>
          <w:lang w:eastAsia="en-US"/>
        </w:rPr>
        <w:t>,</w:t>
      </w:r>
      <w:r w:rsidRPr="003F3C2F">
        <w:rPr>
          <w:color w:val="000000"/>
          <w:sz w:val="24"/>
          <w:szCs w:val="24"/>
          <w:lang w:eastAsia="en-US"/>
        </w:rPr>
        <w:t xml:space="preserve"> including the development of the NDC</w:t>
      </w:r>
      <w:r w:rsidR="005517F6" w:rsidRPr="003F3C2F">
        <w:rPr>
          <w:color w:val="000000"/>
          <w:sz w:val="24"/>
          <w:szCs w:val="24"/>
          <w:lang w:eastAsia="en-US"/>
        </w:rPr>
        <w:t xml:space="preserve"> 3.0</w:t>
      </w:r>
      <w:r w:rsidRPr="003F3C2F">
        <w:rPr>
          <w:color w:val="000000"/>
          <w:sz w:val="24"/>
          <w:szCs w:val="24"/>
          <w:lang w:eastAsia="en-US"/>
        </w:rPr>
        <w:t>.</w:t>
      </w:r>
    </w:p>
    <w:p w14:paraId="79E9972D" w14:textId="77777777" w:rsidR="00DB304B" w:rsidRPr="003F3C2F" w:rsidRDefault="00DB304B" w:rsidP="00DB304B">
      <w:pPr>
        <w:pStyle w:val="BodyText"/>
        <w:ind w:left="0"/>
        <w:rPr>
          <w:rFonts w:ascii="Times New Roman" w:hAnsi="Times New Roman"/>
        </w:rPr>
      </w:pPr>
    </w:p>
    <w:p w14:paraId="62E013FE" w14:textId="4D18BC23" w:rsidR="007C7CDD" w:rsidRPr="003F3C2F" w:rsidRDefault="007C7CDD">
      <w:pPr>
        <w:overflowPunct/>
        <w:autoSpaceDE/>
        <w:autoSpaceDN/>
        <w:adjustRightInd/>
        <w:spacing w:line="240" w:lineRule="auto"/>
        <w:textAlignment w:val="auto"/>
        <w:rPr>
          <w:szCs w:val="28"/>
        </w:rPr>
      </w:pPr>
      <w:r w:rsidRPr="003F3C2F">
        <w:rPr>
          <w:szCs w:val="28"/>
        </w:rPr>
        <w:br w:type="page"/>
      </w:r>
    </w:p>
    <w:p w14:paraId="5616280C" w14:textId="3FFEF431" w:rsidR="00B524F5" w:rsidRPr="003F3C2F" w:rsidRDefault="00B524F5" w:rsidP="00F51FAF">
      <w:pPr>
        <w:pStyle w:val="Heading1"/>
        <w:numPr>
          <w:ilvl w:val="0"/>
          <w:numId w:val="12"/>
        </w:numPr>
        <w:spacing w:before="240" w:after="240" w:line="276" w:lineRule="auto"/>
        <w:ind w:left="360"/>
      </w:pPr>
      <w:bookmarkStart w:id="28" w:name="_Toc205444875"/>
      <w:bookmarkStart w:id="29" w:name="_Toc198887485"/>
      <w:r w:rsidRPr="003F3C2F">
        <w:rPr>
          <w:bCs/>
        </w:rPr>
        <w:lastRenderedPageBreak/>
        <w:t>NDC 3.0 PROCESS</w:t>
      </w:r>
      <w:bookmarkEnd w:id="28"/>
    </w:p>
    <w:p w14:paraId="1B967513" w14:textId="16B28F2D" w:rsidR="00B52AEA" w:rsidRPr="003F3C2F" w:rsidRDefault="009A6BAB" w:rsidP="00B52AEA">
      <w:pPr>
        <w:pStyle w:val="Heading2"/>
        <w:numPr>
          <w:ilvl w:val="1"/>
          <w:numId w:val="12"/>
        </w:numPr>
        <w:spacing w:before="240" w:after="240" w:line="276" w:lineRule="auto"/>
      </w:pPr>
      <w:bookmarkStart w:id="30" w:name="_Toc199455918"/>
      <w:bookmarkStart w:id="31" w:name="_Toc205444876"/>
      <w:r w:rsidRPr="003F3C2F">
        <w:t>NDC 3.0 development</w:t>
      </w:r>
      <w:bookmarkEnd w:id="30"/>
      <w:bookmarkEnd w:id="31"/>
    </w:p>
    <w:p w14:paraId="69A6B94B" w14:textId="1675E896" w:rsidR="00B52AEA" w:rsidRPr="003F3C2F" w:rsidRDefault="0049397A" w:rsidP="00B52AEA">
      <w:pPr>
        <w:spacing w:line="276" w:lineRule="auto"/>
        <w:jc w:val="both"/>
        <w:rPr>
          <w:sz w:val="24"/>
          <w:szCs w:val="24"/>
        </w:rPr>
      </w:pPr>
      <w:r w:rsidRPr="003F3C2F">
        <w:rPr>
          <w:sz w:val="24"/>
          <w:szCs w:val="24"/>
        </w:rPr>
        <w:t>Liberia has had two NDC submissions in 2015 and 2021.</w:t>
      </w:r>
      <w:r w:rsidR="00B52AEA" w:rsidRPr="003F3C2F">
        <w:rPr>
          <w:sz w:val="24"/>
          <w:szCs w:val="24"/>
        </w:rPr>
        <w:t xml:space="preserve"> </w:t>
      </w:r>
      <w:r w:rsidRPr="003F3C2F">
        <w:rPr>
          <w:sz w:val="24"/>
          <w:szCs w:val="24"/>
        </w:rPr>
        <w:t>Liberia</w:t>
      </w:r>
      <w:r w:rsidR="00B52AEA" w:rsidRPr="003F3C2F">
        <w:rPr>
          <w:sz w:val="24"/>
          <w:szCs w:val="24"/>
        </w:rPr>
        <w:t xml:space="preserve"> NDC 2.0</w:t>
      </w:r>
      <w:r w:rsidRPr="003F3C2F">
        <w:rPr>
          <w:sz w:val="24"/>
          <w:szCs w:val="24"/>
        </w:rPr>
        <w:t xml:space="preserve"> (launched in 2021)</w:t>
      </w:r>
      <w:r w:rsidR="00B52AEA" w:rsidRPr="003F3C2F">
        <w:rPr>
          <w:sz w:val="24"/>
          <w:szCs w:val="24"/>
        </w:rPr>
        <w:t xml:space="preserve"> outline</w:t>
      </w:r>
      <w:r w:rsidRPr="003F3C2F">
        <w:rPr>
          <w:sz w:val="24"/>
          <w:szCs w:val="24"/>
        </w:rPr>
        <w:t>d the country’s</w:t>
      </w:r>
      <w:r w:rsidR="00B52AEA" w:rsidRPr="003F3C2F">
        <w:rPr>
          <w:sz w:val="24"/>
          <w:szCs w:val="24"/>
        </w:rPr>
        <w:t xml:space="preserve"> commitment to reduce greenhouse gas emissions by 10% unconditionally and up to 54% conditionally by 2030, relative to a business-as-usual scenario. The achievement of the conditional targets </w:t>
      </w:r>
      <w:r w:rsidRPr="003F3C2F">
        <w:rPr>
          <w:sz w:val="24"/>
          <w:szCs w:val="24"/>
        </w:rPr>
        <w:t>was</w:t>
      </w:r>
      <w:r w:rsidR="00B52AEA" w:rsidRPr="003F3C2F">
        <w:rPr>
          <w:sz w:val="24"/>
          <w:szCs w:val="24"/>
        </w:rPr>
        <w:t xml:space="preserve"> contingent upon receiving international support in the areas of finance, technology, and capacity building (UNFCCC, 2021).</w:t>
      </w:r>
    </w:p>
    <w:p w14:paraId="1A476791" w14:textId="77777777" w:rsidR="0049397A" w:rsidRPr="003F3C2F" w:rsidRDefault="0049397A" w:rsidP="0049397A">
      <w:pPr>
        <w:pStyle w:val="BodyText"/>
        <w:rPr>
          <w:rFonts w:ascii="Times New Roman" w:hAnsi="Times New Roman"/>
        </w:rPr>
      </w:pPr>
    </w:p>
    <w:p w14:paraId="3C1F55AD" w14:textId="77777777" w:rsidR="00B52AEA" w:rsidRPr="003F3C2F" w:rsidRDefault="00B52AEA" w:rsidP="00B52AEA">
      <w:pPr>
        <w:spacing w:line="276" w:lineRule="auto"/>
        <w:jc w:val="both"/>
        <w:rPr>
          <w:sz w:val="24"/>
          <w:szCs w:val="24"/>
        </w:rPr>
      </w:pPr>
      <w:r w:rsidRPr="003F3C2F">
        <w:rPr>
          <w:sz w:val="24"/>
          <w:szCs w:val="24"/>
        </w:rPr>
        <w:t>Based on the call from the UNFCCC for parties to submit updated NDCs in third round of NDC submission, the Government of Liberia initiated a national planning process, beginning with a formal request to the NDC Partnership for assistance in six key areas: NDC facilitation and coordination, updating of NDC 2.0, revision of the NDC implementation plan, updating the NDC investment plan, NDC costing, and strengthening stakeholder engagement and capacity building for effective NDC implementation. Following the development of a comprehensive roadmap, the Government convened a “Partner Roundtable Meeting” in Monrovia to mobilize technical and financial support for the development of NDC 3.0.</w:t>
      </w:r>
    </w:p>
    <w:p w14:paraId="1926A91D" w14:textId="77777777" w:rsidR="00B52AEA" w:rsidRPr="003F3C2F" w:rsidRDefault="00B52AEA" w:rsidP="00B52AEA">
      <w:pPr>
        <w:spacing w:line="276" w:lineRule="auto"/>
        <w:jc w:val="both"/>
        <w:rPr>
          <w:sz w:val="24"/>
          <w:szCs w:val="24"/>
        </w:rPr>
      </w:pPr>
    </w:p>
    <w:p w14:paraId="7B327A26" w14:textId="77777777" w:rsidR="00B52AEA" w:rsidRPr="003F3C2F" w:rsidRDefault="00B52AEA" w:rsidP="00B52AEA">
      <w:pPr>
        <w:spacing w:line="276" w:lineRule="auto"/>
        <w:jc w:val="both"/>
        <w:rPr>
          <w:sz w:val="24"/>
          <w:szCs w:val="24"/>
        </w:rPr>
      </w:pPr>
      <w:r w:rsidRPr="003F3C2F">
        <w:rPr>
          <w:sz w:val="24"/>
          <w:szCs w:val="24"/>
        </w:rPr>
        <w:t>With support from the NDC Partnership through the United Nations Development Programme (UNDP), the government conducted a thorough stocktake of NDC 2.0, which was successfully completed. The stocktake report underwent validation through both technical reviews and high-level policymaker consultations. Based on the findings of this report, the government officially launched the NDC 3.0 revision process.</w:t>
      </w:r>
    </w:p>
    <w:p w14:paraId="5A8501FC" w14:textId="77777777" w:rsidR="00B52AEA" w:rsidRPr="003F3C2F" w:rsidRDefault="00B52AEA" w:rsidP="00B52AEA">
      <w:pPr>
        <w:spacing w:line="276" w:lineRule="auto"/>
        <w:jc w:val="both"/>
        <w:rPr>
          <w:sz w:val="24"/>
          <w:szCs w:val="24"/>
        </w:rPr>
      </w:pPr>
    </w:p>
    <w:p w14:paraId="3BA9F5E4" w14:textId="77777777" w:rsidR="00B52AEA" w:rsidRPr="003F3C2F" w:rsidRDefault="00B52AEA" w:rsidP="00B52AEA">
      <w:pPr>
        <w:spacing w:line="276" w:lineRule="auto"/>
        <w:jc w:val="both"/>
        <w:rPr>
          <w:sz w:val="24"/>
          <w:szCs w:val="24"/>
        </w:rPr>
      </w:pPr>
      <w:r w:rsidRPr="003F3C2F">
        <w:rPr>
          <w:sz w:val="24"/>
          <w:szCs w:val="24"/>
        </w:rPr>
        <w:t>A technical sectoral workshop was subsequently organized, bringing together representatives from all nine existing NDC sectors as well as new sectors proposed for inclusion in NDC 3.0. In addition to this, a broader workshop was held to present and justify the inclusion of all proposed sectors, supported by the African Climate Policy Centre (ACPC), the Climate Change, Food Security and Natural Resource Division (CFND), and in collaboration with the United Nations Economic Commission for Africa (UNECA). Furthermore, a dedicated technical workshop was convened to prioritize and validate the new sectors to be incorporated into NDC 3.0.</w:t>
      </w:r>
    </w:p>
    <w:p w14:paraId="024B0166" w14:textId="77777777" w:rsidR="00B52AEA" w:rsidRPr="003F3C2F" w:rsidRDefault="00B52AEA" w:rsidP="00B52AEA">
      <w:pPr>
        <w:spacing w:line="276" w:lineRule="auto"/>
        <w:jc w:val="both"/>
        <w:rPr>
          <w:sz w:val="24"/>
          <w:szCs w:val="24"/>
        </w:rPr>
      </w:pPr>
    </w:p>
    <w:p w14:paraId="12816A2B" w14:textId="77777777" w:rsidR="00B52AEA" w:rsidRPr="003F3C2F" w:rsidRDefault="00B52AEA" w:rsidP="00B52AEA">
      <w:pPr>
        <w:spacing w:line="276" w:lineRule="auto"/>
        <w:jc w:val="both"/>
        <w:rPr>
          <w:sz w:val="24"/>
          <w:szCs w:val="24"/>
        </w:rPr>
      </w:pPr>
      <w:r w:rsidRPr="003F3C2F">
        <w:rPr>
          <w:sz w:val="24"/>
          <w:szCs w:val="24"/>
        </w:rPr>
        <w:t>Complementing these efforts, three regional workshops were conducted with participation from NDC sectoral stakeholders across Liberia’s fifteen counties. These workshops took place in geographically diverse locations: Grand Bassa, Bong, and Nimba counties. Throughout the revision process, the government and its partners held weekly meetings to provide updates and coordinate activities related to the NDC 3.0 revision.</w:t>
      </w:r>
    </w:p>
    <w:p w14:paraId="05B6D2CC" w14:textId="77777777" w:rsidR="00B52AEA" w:rsidRPr="003F3C2F" w:rsidRDefault="00B52AEA" w:rsidP="00B52AEA">
      <w:pPr>
        <w:pStyle w:val="BodyText"/>
        <w:ind w:left="0"/>
        <w:rPr>
          <w:rFonts w:ascii="Times New Roman" w:hAnsi="Times New Roman"/>
        </w:rPr>
      </w:pPr>
    </w:p>
    <w:p w14:paraId="2673E66E" w14:textId="2B60403C" w:rsidR="00BA23C9" w:rsidRPr="003F3C2F" w:rsidRDefault="009A6BAB" w:rsidP="00BA23C9">
      <w:pPr>
        <w:pStyle w:val="Heading2"/>
        <w:numPr>
          <w:ilvl w:val="1"/>
          <w:numId w:val="12"/>
        </w:numPr>
        <w:spacing w:before="240" w:after="240" w:line="276" w:lineRule="auto"/>
      </w:pPr>
      <w:bookmarkStart w:id="32" w:name="_Toc199455919"/>
      <w:bookmarkStart w:id="33" w:name="_Toc205444877"/>
      <w:r w:rsidRPr="003F3C2F">
        <w:lastRenderedPageBreak/>
        <w:t>Stakeholder Consultation</w:t>
      </w:r>
      <w:bookmarkEnd w:id="32"/>
      <w:bookmarkEnd w:id="33"/>
    </w:p>
    <w:p w14:paraId="18EA9827" w14:textId="15BA42A2" w:rsidR="00BA23C9" w:rsidRPr="003F3C2F" w:rsidRDefault="00BA23C9" w:rsidP="00BA23C9">
      <w:pPr>
        <w:spacing w:line="276" w:lineRule="auto"/>
        <w:jc w:val="both"/>
        <w:rPr>
          <w:sz w:val="24"/>
          <w:szCs w:val="24"/>
        </w:rPr>
      </w:pPr>
      <w:r w:rsidRPr="003F3C2F">
        <w:rPr>
          <w:sz w:val="24"/>
          <w:szCs w:val="24"/>
        </w:rPr>
        <w:t xml:space="preserve">Liberia’s NDC revision process took into account stakeholders from the existing NDC sectors as well </w:t>
      </w:r>
      <w:r w:rsidR="004A3F96" w:rsidRPr="003F3C2F">
        <w:rPr>
          <w:sz w:val="24"/>
          <w:szCs w:val="24"/>
        </w:rPr>
        <w:t xml:space="preserve">as </w:t>
      </w:r>
      <w:r w:rsidRPr="003F3C2F">
        <w:rPr>
          <w:sz w:val="24"/>
          <w:szCs w:val="24"/>
        </w:rPr>
        <w:t>from the newly proposed sectors. The stakeholders included</w:t>
      </w:r>
      <w:r w:rsidR="004A3F96" w:rsidRPr="003F3C2F">
        <w:rPr>
          <w:sz w:val="24"/>
          <w:szCs w:val="24"/>
        </w:rPr>
        <w:t>:</w:t>
      </w:r>
      <w:r w:rsidRPr="003F3C2F">
        <w:rPr>
          <w:sz w:val="24"/>
          <w:szCs w:val="24"/>
        </w:rPr>
        <w:t xml:space="preserve"> relevant government NDC sector ministries, agencies, and commissions (MACs), Civil Society Organizations</w:t>
      </w:r>
      <w:r w:rsidR="004A3F96" w:rsidRPr="003F3C2F">
        <w:rPr>
          <w:sz w:val="24"/>
          <w:szCs w:val="24"/>
        </w:rPr>
        <w:t xml:space="preserve"> (CSOs)</w:t>
      </w:r>
      <w:r w:rsidRPr="003F3C2F">
        <w:rPr>
          <w:sz w:val="24"/>
          <w:szCs w:val="24"/>
        </w:rPr>
        <w:t>, Community-Based Organizations</w:t>
      </w:r>
      <w:r w:rsidR="004A3F96" w:rsidRPr="003F3C2F">
        <w:rPr>
          <w:sz w:val="24"/>
          <w:szCs w:val="24"/>
        </w:rPr>
        <w:t xml:space="preserve"> (CBOs)</w:t>
      </w:r>
      <w:r w:rsidRPr="003F3C2F">
        <w:rPr>
          <w:sz w:val="24"/>
          <w:szCs w:val="24"/>
        </w:rPr>
        <w:t xml:space="preserve">, Youth Organizations, School-going Kids, Academic Institutions, Children-led Organizations, local County Officials, Private sector, and Development Partners. </w:t>
      </w:r>
      <w:r w:rsidR="004A3F96" w:rsidRPr="003F3C2F">
        <w:rPr>
          <w:sz w:val="24"/>
          <w:szCs w:val="24"/>
        </w:rPr>
        <w:t>During the development of the NDC3.0, representatives from the following entities were</w:t>
      </w:r>
      <w:r w:rsidRPr="003F3C2F">
        <w:rPr>
          <w:sz w:val="24"/>
          <w:szCs w:val="24"/>
        </w:rPr>
        <w:t xml:space="preserve"> engaged: </w:t>
      </w:r>
    </w:p>
    <w:p w14:paraId="455F9A65" w14:textId="77777777" w:rsidR="004A3F96" w:rsidRPr="003F3C2F" w:rsidRDefault="004A3F96" w:rsidP="004A3F96">
      <w:pPr>
        <w:pStyle w:val="BodyText"/>
        <w:ind w:left="0"/>
        <w:rPr>
          <w:rFonts w:ascii="Times New Roman" w:hAnsi="Times New Roman"/>
        </w:rPr>
      </w:pPr>
    </w:p>
    <w:tbl>
      <w:tblPr>
        <w:tblStyle w:val="TableGrid"/>
        <w:tblW w:w="0" w:type="auto"/>
        <w:tblLook w:val="04A0" w:firstRow="1" w:lastRow="0" w:firstColumn="1" w:lastColumn="0" w:noHBand="0" w:noVBand="1"/>
      </w:tblPr>
      <w:tblGrid>
        <w:gridCol w:w="576"/>
        <w:gridCol w:w="3929"/>
        <w:gridCol w:w="576"/>
        <w:gridCol w:w="3935"/>
      </w:tblGrid>
      <w:tr w:rsidR="004A3F96" w:rsidRPr="003F3C2F" w14:paraId="091076EB" w14:textId="77777777" w:rsidTr="004A3F96">
        <w:tc>
          <w:tcPr>
            <w:tcW w:w="535" w:type="dxa"/>
            <w:shd w:val="clear" w:color="auto" w:fill="41828B"/>
          </w:tcPr>
          <w:p w14:paraId="72F38E44" w14:textId="2DB55550" w:rsidR="004A3F96" w:rsidRPr="003F3C2F" w:rsidRDefault="004A3F96" w:rsidP="004A3F96">
            <w:pPr>
              <w:pStyle w:val="BodyText"/>
              <w:ind w:left="0"/>
              <w:jc w:val="center"/>
              <w:rPr>
                <w:rFonts w:ascii="Times New Roman" w:hAnsi="Times New Roman"/>
                <w:b/>
                <w:bCs/>
                <w:color w:val="FFFFFF" w:themeColor="background1"/>
                <w:sz w:val="24"/>
                <w:szCs w:val="24"/>
              </w:rPr>
            </w:pPr>
            <w:r w:rsidRPr="003F3C2F">
              <w:rPr>
                <w:rFonts w:ascii="Times New Roman" w:hAnsi="Times New Roman"/>
                <w:b/>
                <w:bCs/>
                <w:color w:val="FFFFFF" w:themeColor="background1"/>
                <w:sz w:val="24"/>
                <w:szCs w:val="24"/>
              </w:rPr>
              <w:t>NO</w:t>
            </w:r>
          </w:p>
        </w:tc>
        <w:tc>
          <w:tcPr>
            <w:tcW w:w="3973" w:type="dxa"/>
            <w:shd w:val="clear" w:color="auto" w:fill="41828B"/>
          </w:tcPr>
          <w:p w14:paraId="04A5A8F0" w14:textId="5A53D1B7" w:rsidR="004A3F96" w:rsidRPr="003F3C2F" w:rsidRDefault="004A3F96" w:rsidP="004A3F96">
            <w:pPr>
              <w:pStyle w:val="BodyText"/>
              <w:ind w:left="0"/>
              <w:jc w:val="center"/>
              <w:rPr>
                <w:rFonts w:ascii="Times New Roman" w:hAnsi="Times New Roman"/>
                <w:b/>
                <w:bCs/>
                <w:color w:val="FFFFFF" w:themeColor="background1"/>
                <w:sz w:val="24"/>
                <w:szCs w:val="24"/>
              </w:rPr>
            </w:pPr>
            <w:r w:rsidRPr="003F3C2F">
              <w:rPr>
                <w:rFonts w:ascii="Times New Roman" w:hAnsi="Times New Roman"/>
                <w:b/>
                <w:bCs/>
                <w:color w:val="FFFFFF" w:themeColor="background1"/>
                <w:sz w:val="24"/>
                <w:szCs w:val="24"/>
              </w:rPr>
              <w:t>Institutions</w:t>
            </w:r>
          </w:p>
        </w:tc>
        <w:tc>
          <w:tcPr>
            <w:tcW w:w="527" w:type="dxa"/>
            <w:shd w:val="clear" w:color="auto" w:fill="41828B"/>
          </w:tcPr>
          <w:p w14:paraId="624EB7C2" w14:textId="31BE857E" w:rsidR="004A3F96" w:rsidRPr="003F3C2F" w:rsidRDefault="004A3F96" w:rsidP="004A3F96">
            <w:pPr>
              <w:pStyle w:val="BodyText"/>
              <w:ind w:left="0"/>
              <w:jc w:val="center"/>
              <w:rPr>
                <w:rFonts w:ascii="Times New Roman" w:hAnsi="Times New Roman"/>
                <w:b/>
                <w:bCs/>
                <w:color w:val="FFFFFF" w:themeColor="background1"/>
                <w:sz w:val="24"/>
                <w:szCs w:val="24"/>
              </w:rPr>
            </w:pPr>
            <w:r w:rsidRPr="003F3C2F">
              <w:rPr>
                <w:rFonts w:ascii="Times New Roman" w:hAnsi="Times New Roman"/>
                <w:b/>
                <w:bCs/>
                <w:color w:val="FFFFFF" w:themeColor="background1"/>
                <w:sz w:val="24"/>
                <w:szCs w:val="24"/>
              </w:rPr>
              <w:t>NO</w:t>
            </w:r>
          </w:p>
        </w:tc>
        <w:tc>
          <w:tcPr>
            <w:tcW w:w="3981" w:type="dxa"/>
            <w:shd w:val="clear" w:color="auto" w:fill="41828B"/>
          </w:tcPr>
          <w:p w14:paraId="00EC6CA4" w14:textId="201354E1" w:rsidR="004A3F96" w:rsidRPr="003F3C2F" w:rsidRDefault="004A3F96" w:rsidP="004A3F96">
            <w:pPr>
              <w:pStyle w:val="BodyText"/>
              <w:ind w:left="0"/>
              <w:jc w:val="center"/>
              <w:rPr>
                <w:rFonts w:ascii="Times New Roman" w:hAnsi="Times New Roman"/>
                <w:b/>
                <w:bCs/>
                <w:color w:val="FFFFFF" w:themeColor="background1"/>
                <w:sz w:val="24"/>
                <w:szCs w:val="24"/>
              </w:rPr>
            </w:pPr>
            <w:r w:rsidRPr="003F3C2F">
              <w:rPr>
                <w:rFonts w:ascii="Times New Roman" w:hAnsi="Times New Roman"/>
                <w:b/>
                <w:bCs/>
                <w:color w:val="FFFFFF" w:themeColor="background1"/>
                <w:sz w:val="24"/>
                <w:szCs w:val="24"/>
              </w:rPr>
              <w:t>Institutions</w:t>
            </w:r>
          </w:p>
        </w:tc>
      </w:tr>
      <w:tr w:rsidR="004A3F96" w:rsidRPr="003F3C2F" w14:paraId="24168632" w14:textId="77777777" w:rsidTr="004A3F96">
        <w:tc>
          <w:tcPr>
            <w:tcW w:w="535" w:type="dxa"/>
          </w:tcPr>
          <w:p w14:paraId="57AED6B5" w14:textId="2A14774C"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w:t>
            </w:r>
          </w:p>
        </w:tc>
        <w:tc>
          <w:tcPr>
            <w:tcW w:w="3973" w:type="dxa"/>
          </w:tcPr>
          <w:p w14:paraId="696FD214" w14:textId="1FFA90A3" w:rsidR="004A3F96" w:rsidRPr="003F3C2F" w:rsidRDefault="004A3F96" w:rsidP="004A3F96">
            <w:pPr>
              <w:spacing w:line="276" w:lineRule="auto"/>
              <w:rPr>
                <w:sz w:val="24"/>
                <w:szCs w:val="24"/>
              </w:rPr>
            </w:pPr>
            <w:r w:rsidRPr="003F3C2F">
              <w:rPr>
                <w:sz w:val="24"/>
                <w:szCs w:val="24"/>
              </w:rPr>
              <w:t>Environmental Protection Agency</w:t>
            </w:r>
          </w:p>
        </w:tc>
        <w:tc>
          <w:tcPr>
            <w:tcW w:w="527" w:type="dxa"/>
          </w:tcPr>
          <w:p w14:paraId="01DB3637" w14:textId="667AB3CC"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22</w:t>
            </w:r>
          </w:p>
        </w:tc>
        <w:tc>
          <w:tcPr>
            <w:tcW w:w="3981" w:type="dxa"/>
          </w:tcPr>
          <w:p w14:paraId="51BB9380" w14:textId="050D965A"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Maritime Authority</w:t>
            </w:r>
          </w:p>
        </w:tc>
      </w:tr>
      <w:tr w:rsidR="004A3F96" w:rsidRPr="003F3C2F" w14:paraId="38BEE94B" w14:textId="77777777" w:rsidTr="004A3F96">
        <w:tc>
          <w:tcPr>
            <w:tcW w:w="535" w:type="dxa"/>
          </w:tcPr>
          <w:p w14:paraId="0F26FDD7" w14:textId="6E31577A"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2</w:t>
            </w:r>
          </w:p>
        </w:tc>
        <w:tc>
          <w:tcPr>
            <w:tcW w:w="3973" w:type="dxa"/>
          </w:tcPr>
          <w:p w14:paraId="65E4D421" w14:textId="086466E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Finance Development Planning</w:t>
            </w:r>
          </w:p>
        </w:tc>
        <w:tc>
          <w:tcPr>
            <w:tcW w:w="527" w:type="dxa"/>
          </w:tcPr>
          <w:p w14:paraId="16AAEA94" w14:textId="09E89151"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23</w:t>
            </w:r>
          </w:p>
        </w:tc>
        <w:tc>
          <w:tcPr>
            <w:tcW w:w="3981" w:type="dxa"/>
          </w:tcPr>
          <w:p w14:paraId="35F5FB85" w14:textId="0000164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Immigration Services</w:t>
            </w:r>
          </w:p>
        </w:tc>
      </w:tr>
      <w:tr w:rsidR="004A3F96" w:rsidRPr="003F3C2F" w14:paraId="76F1CB57" w14:textId="77777777" w:rsidTr="004A3F96">
        <w:tc>
          <w:tcPr>
            <w:tcW w:w="535" w:type="dxa"/>
          </w:tcPr>
          <w:p w14:paraId="0F08C322" w14:textId="75F5DE59"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3</w:t>
            </w:r>
          </w:p>
        </w:tc>
        <w:tc>
          <w:tcPr>
            <w:tcW w:w="3973" w:type="dxa"/>
          </w:tcPr>
          <w:p w14:paraId="5E329D82" w14:textId="7D2DB5A6"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Agriculture</w:t>
            </w:r>
          </w:p>
        </w:tc>
        <w:tc>
          <w:tcPr>
            <w:tcW w:w="527" w:type="dxa"/>
          </w:tcPr>
          <w:p w14:paraId="56D159DE" w14:textId="4E29D4DF"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24</w:t>
            </w:r>
          </w:p>
        </w:tc>
        <w:tc>
          <w:tcPr>
            <w:tcW w:w="3981" w:type="dxa"/>
          </w:tcPr>
          <w:p w14:paraId="38718B17" w14:textId="3F94D9E1"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WASH Commission</w:t>
            </w:r>
          </w:p>
        </w:tc>
      </w:tr>
      <w:tr w:rsidR="004A3F96" w:rsidRPr="003F3C2F" w14:paraId="6B36501B" w14:textId="77777777" w:rsidTr="004A3F96">
        <w:tc>
          <w:tcPr>
            <w:tcW w:w="535" w:type="dxa"/>
          </w:tcPr>
          <w:p w14:paraId="3512CE94" w14:textId="74600646"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4</w:t>
            </w:r>
          </w:p>
        </w:tc>
        <w:tc>
          <w:tcPr>
            <w:tcW w:w="3973" w:type="dxa"/>
          </w:tcPr>
          <w:p w14:paraId="2D8BD4EA" w14:textId="4788AF8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Health</w:t>
            </w:r>
          </w:p>
        </w:tc>
        <w:tc>
          <w:tcPr>
            <w:tcW w:w="527" w:type="dxa"/>
          </w:tcPr>
          <w:p w14:paraId="6873E3FB" w14:textId="46FF32E4"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25</w:t>
            </w:r>
          </w:p>
        </w:tc>
        <w:tc>
          <w:tcPr>
            <w:tcW w:w="3981" w:type="dxa"/>
          </w:tcPr>
          <w:p w14:paraId="40FDFF42" w14:textId="691B7D99"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Petroleum Refinery Company</w:t>
            </w:r>
          </w:p>
        </w:tc>
      </w:tr>
      <w:tr w:rsidR="004A3F96" w:rsidRPr="003F3C2F" w14:paraId="5F131A8F" w14:textId="77777777" w:rsidTr="004A3F96">
        <w:tc>
          <w:tcPr>
            <w:tcW w:w="535" w:type="dxa"/>
          </w:tcPr>
          <w:p w14:paraId="1DAC0071" w14:textId="22DD94B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5</w:t>
            </w:r>
          </w:p>
        </w:tc>
        <w:tc>
          <w:tcPr>
            <w:tcW w:w="3973" w:type="dxa"/>
          </w:tcPr>
          <w:p w14:paraId="6A99A06D" w14:textId="7B005271"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Mines &amp; Energy</w:t>
            </w:r>
          </w:p>
        </w:tc>
        <w:tc>
          <w:tcPr>
            <w:tcW w:w="527" w:type="dxa"/>
          </w:tcPr>
          <w:p w14:paraId="22AC6A57" w14:textId="6A6E840A"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26</w:t>
            </w:r>
          </w:p>
        </w:tc>
        <w:tc>
          <w:tcPr>
            <w:tcW w:w="3981" w:type="dxa"/>
          </w:tcPr>
          <w:p w14:paraId="4B783EEE" w14:textId="1A675512"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The University of Liberia</w:t>
            </w:r>
          </w:p>
        </w:tc>
      </w:tr>
      <w:tr w:rsidR="004A3F96" w:rsidRPr="003F3C2F" w14:paraId="4991C0FD" w14:textId="77777777" w:rsidTr="004A3F96">
        <w:tc>
          <w:tcPr>
            <w:tcW w:w="535" w:type="dxa"/>
          </w:tcPr>
          <w:p w14:paraId="7AEEC194" w14:textId="299E9F2C"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6</w:t>
            </w:r>
          </w:p>
        </w:tc>
        <w:tc>
          <w:tcPr>
            <w:tcW w:w="3973" w:type="dxa"/>
          </w:tcPr>
          <w:p w14:paraId="34853E9B" w14:textId="674C67DA"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Gender, Children &amp; Social Protection</w:t>
            </w:r>
          </w:p>
        </w:tc>
        <w:tc>
          <w:tcPr>
            <w:tcW w:w="527" w:type="dxa"/>
          </w:tcPr>
          <w:p w14:paraId="76BF931A" w14:textId="39C9D2D2"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27</w:t>
            </w:r>
          </w:p>
        </w:tc>
        <w:tc>
          <w:tcPr>
            <w:tcW w:w="3981" w:type="dxa"/>
          </w:tcPr>
          <w:p w14:paraId="2E7B41A2" w14:textId="508A1B6F"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United Methodist Zion University</w:t>
            </w:r>
          </w:p>
        </w:tc>
      </w:tr>
      <w:tr w:rsidR="004A3F96" w:rsidRPr="003F3C2F" w14:paraId="3FBE77A4" w14:textId="77777777" w:rsidTr="004A3F96">
        <w:tc>
          <w:tcPr>
            <w:tcW w:w="535" w:type="dxa"/>
          </w:tcPr>
          <w:p w14:paraId="77A57B47" w14:textId="454D3666"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7</w:t>
            </w:r>
          </w:p>
        </w:tc>
        <w:tc>
          <w:tcPr>
            <w:tcW w:w="3973" w:type="dxa"/>
          </w:tcPr>
          <w:p w14:paraId="22775D0A" w14:textId="0320F5A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Internal Affairs</w:t>
            </w:r>
          </w:p>
        </w:tc>
        <w:tc>
          <w:tcPr>
            <w:tcW w:w="527" w:type="dxa"/>
          </w:tcPr>
          <w:p w14:paraId="5839010D" w14:textId="1BAC519A"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28</w:t>
            </w:r>
          </w:p>
        </w:tc>
        <w:tc>
          <w:tcPr>
            <w:tcW w:w="3981" w:type="dxa"/>
          </w:tcPr>
          <w:p w14:paraId="1DEA4750" w14:textId="7D9B805C"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Stella Maris Polytechnic University</w:t>
            </w:r>
          </w:p>
        </w:tc>
      </w:tr>
      <w:tr w:rsidR="004A3F96" w:rsidRPr="003F3C2F" w14:paraId="6E66683D" w14:textId="77777777" w:rsidTr="004A3F96">
        <w:tc>
          <w:tcPr>
            <w:tcW w:w="535" w:type="dxa"/>
          </w:tcPr>
          <w:p w14:paraId="086D8F49" w14:textId="3E2CB19C"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8</w:t>
            </w:r>
          </w:p>
        </w:tc>
        <w:tc>
          <w:tcPr>
            <w:tcW w:w="3973" w:type="dxa"/>
          </w:tcPr>
          <w:p w14:paraId="6E1EA36E" w14:textId="48109B5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Public Works</w:t>
            </w:r>
          </w:p>
        </w:tc>
        <w:tc>
          <w:tcPr>
            <w:tcW w:w="527" w:type="dxa"/>
          </w:tcPr>
          <w:p w14:paraId="2870B0D8" w14:textId="2B315D34"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29</w:t>
            </w:r>
          </w:p>
        </w:tc>
        <w:tc>
          <w:tcPr>
            <w:tcW w:w="3981" w:type="dxa"/>
          </w:tcPr>
          <w:p w14:paraId="063D07F1" w14:textId="014637E2"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Monrovia Vocational Training Center</w:t>
            </w:r>
          </w:p>
        </w:tc>
      </w:tr>
      <w:tr w:rsidR="004A3F96" w:rsidRPr="003F3C2F" w14:paraId="09D2936A" w14:textId="77777777" w:rsidTr="004A3F96">
        <w:tc>
          <w:tcPr>
            <w:tcW w:w="535" w:type="dxa"/>
          </w:tcPr>
          <w:p w14:paraId="52DE721F" w14:textId="53A67D3F"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9</w:t>
            </w:r>
          </w:p>
        </w:tc>
        <w:tc>
          <w:tcPr>
            <w:tcW w:w="3973" w:type="dxa"/>
          </w:tcPr>
          <w:p w14:paraId="3ACCE116" w14:textId="369F6FB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Commerce &amp; Industry</w:t>
            </w:r>
          </w:p>
        </w:tc>
        <w:tc>
          <w:tcPr>
            <w:tcW w:w="527" w:type="dxa"/>
          </w:tcPr>
          <w:p w14:paraId="60E3C9F4" w14:textId="4079CFF6"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30</w:t>
            </w:r>
          </w:p>
        </w:tc>
        <w:tc>
          <w:tcPr>
            <w:tcW w:w="3981" w:type="dxa"/>
          </w:tcPr>
          <w:p w14:paraId="1DC781FD" w14:textId="7DDA920B"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Harbel University</w:t>
            </w:r>
          </w:p>
        </w:tc>
      </w:tr>
      <w:tr w:rsidR="004A3F96" w:rsidRPr="003F3C2F" w14:paraId="3C348CFC" w14:textId="77777777" w:rsidTr="004A3F96">
        <w:tc>
          <w:tcPr>
            <w:tcW w:w="535" w:type="dxa"/>
          </w:tcPr>
          <w:p w14:paraId="213C579D" w14:textId="1BAEFEB6"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10</w:t>
            </w:r>
          </w:p>
        </w:tc>
        <w:tc>
          <w:tcPr>
            <w:tcW w:w="3973" w:type="dxa"/>
          </w:tcPr>
          <w:p w14:paraId="22F9E672" w14:textId="4DE965F5"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Ministry of Information Culture &amp; Tourism</w:t>
            </w:r>
          </w:p>
        </w:tc>
        <w:tc>
          <w:tcPr>
            <w:tcW w:w="527" w:type="dxa"/>
          </w:tcPr>
          <w:p w14:paraId="680A7708" w14:textId="589D0944"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31</w:t>
            </w:r>
          </w:p>
        </w:tc>
        <w:tc>
          <w:tcPr>
            <w:tcW w:w="3981" w:type="dxa"/>
          </w:tcPr>
          <w:p w14:paraId="74856304" w14:textId="4E464FDC"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Nimba University College</w:t>
            </w:r>
          </w:p>
        </w:tc>
      </w:tr>
      <w:tr w:rsidR="004A3F96" w:rsidRPr="003F3C2F" w14:paraId="386D1EE2" w14:textId="77777777" w:rsidTr="004A3F96">
        <w:tc>
          <w:tcPr>
            <w:tcW w:w="535" w:type="dxa"/>
          </w:tcPr>
          <w:p w14:paraId="465C5738" w14:textId="599B6418"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11</w:t>
            </w:r>
          </w:p>
        </w:tc>
        <w:tc>
          <w:tcPr>
            <w:tcW w:w="3973" w:type="dxa"/>
          </w:tcPr>
          <w:p w14:paraId="5F8AD835" w14:textId="39460783"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National Disaster Management Agency</w:t>
            </w:r>
          </w:p>
        </w:tc>
        <w:tc>
          <w:tcPr>
            <w:tcW w:w="527" w:type="dxa"/>
          </w:tcPr>
          <w:p w14:paraId="6C95536D" w14:textId="18ED2DA9"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32</w:t>
            </w:r>
          </w:p>
        </w:tc>
        <w:tc>
          <w:tcPr>
            <w:tcW w:w="3981" w:type="dxa"/>
          </w:tcPr>
          <w:p w14:paraId="37AE6533" w14:textId="7F01E37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Grand Gedeh University college</w:t>
            </w:r>
          </w:p>
        </w:tc>
      </w:tr>
      <w:tr w:rsidR="004A3F96" w:rsidRPr="003F3C2F" w14:paraId="054D4A83" w14:textId="77777777" w:rsidTr="004A3F96">
        <w:tc>
          <w:tcPr>
            <w:tcW w:w="535" w:type="dxa"/>
          </w:tcPr>
          <w:p w14:paraId="2DDF3570" w14:textId="1224DEE2"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12</w:t>
            </w:r>
          </w:p>
        </w:tc>
        <w:tc>
          <w:tcPr>
            <w:tcW w:w="3973" w:type="dxa"/>
          </w:tcPr>
          <w:p w14:paraId="6711E579" w14:textId="46A668EB"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National Fisheries &amp; Aquaculture Authority</w:t>
            </w:r>
          </w:p>
        </w:tc>
        <w:tc>
          <w:tcPr>
            <w:tcW w:w="527" w:type="dxa"/>
          </w:tcPr>
          <w:p w14:paraId="349D405A" w14:textId="5EC9435C"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33</w:t>
            </w:r>
          </w:p>
        </w:tc>
        <w:tc>
          <w:tcPr>
            <w:tcW w:w="3981" w:type="dxa"/>
          </w:tcPr>
          <w:p w14:paraId="0FBA9E08" w14:textId="0D89F838"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Lofa University college</w:t>
            </w:r>
          </w:p>
        </w:tc>
      </w:tr>
      <w:tr w:rsidR="004A3F96" w:rsidRPr="003F3C2F" w14:paraId="4131EDDC" w14:textId="77777777" w:rsidTr="004A3F96">
        <w:tc>
          <w:tcPr>
            <w:tcW w:w="535" w:type="dxa"/>
          </w:tcPr>
          <w:p w14:paraId="20B386C7" w14:textId="7BF08B81"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13</w:t>
            </w:r>
          </w:p>
        </w:tc>
        <w:tc>
          <w:tcPr>
            <w:tcW w:w="3973" w:type="dxa"/>
          </w:tcPr>
          <w:p w14:paraId="2246424F" w14:textId="391D14A7"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Institute for Geo-Information Services</w:t>
            </w:r>
          </w:p>
        </w:tc>
        <w:tc>
          <w:tcPr>
            <w:tcW w:w="527" w:type="dxa"/>
          </w:tcPr>
          <w:p w14:paraId="7C6A8525" w14:textId="6A1BEF5C"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34</w:t>
            </w:r>
          </w:p>
        </w:tc>
        <w:tc>
          <w:tcPr>
            <w:tcW w:w="3981" w:type="dxa"/>
          </w:tcPr>
          <w:p w14:paraId="1D82E257" w14:textId="050DB1EE"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Federation of Liberian Youth</w:t>
            </w:r>
          </w:p>
        </w:tc>
      </w:tr>
      <w:tr w:rsidR="004A3F96" w:rsidRPr="003F3C2F" w14:paraId="1DB6FF66" w14:textId="77777777" w:rsidTr="004A3F96">
        <w:tc>
          <w:tcPr>
            <w:tcW w:w="535" w:type="dxa"/>
          </w:tcPr>
          <w:p w14:paraId="60D6EA3A" w14:textId="5EDF96C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14</w:t>
            </w:r>
          </w:p>
        </w:tc>
        <w:tc>
          <w:tcPr>
            <w:tcW w:w="3973" w:type="dxa"/>
          </w:tcPr>
          <w:p w14:paraId="2FE496F3" w14:textId="2AFF4841"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Land Authority</w:t>
            </w:r>
          </w:p>
        </w:tc>
        <w:tc>
          <w:tcPr>
            <w:tcW w:w="527" w:type="dxa"/>
          </w:tcPr>
          <w:p w14:paraId="6F7FC6FC" w14:textId="2B62B6F7"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35</w:t>
            </w:r>
          </w:p>
        </w:tc>
        <w:tc>
          <w:tcPr>
            <w:tcW w:w="3981" w:type="dxa"/>
          </w:tcPr>
          <w:p w14:paraId="1401A22B" w14:textId="1E549674"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National Student Union</w:t>
            </w:r>
          </w:p>
        </w:tc>
      </w:tr>
      <w:tr w:rsidR="004A3F96" w:rsidRPr="003F3C2F" w14:paraId="39F6D58E" w14:textId="77777777" w:rsidTr="004A3F96">
        <w:tc>
          <w:tcPr>
            <w:tcW w:w="535" w:type="dxa"/>
          </w:tcPr>
          <w:p w14:paraId="180E0402" w14:textId="6A7F0342"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15</w:t>
            </w:r>
          </w:p>
        </w:tc>
        <w:tc>
          <w:tcPr>
            <w:tcW w:w="3973" w:type="dxa"/>
          </w:tcPr>
          <w:p w14:paraId="6CBC7613" w14:textId="6AD2A274"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Rural Renewable Energy Agency</w:t>
            </w:r>
          </w:p>
        </w:tc>
        <w:tc>
          <w:tcPr>
            <w:tcW w:w="527" w:type="dxa"/>
          </w:tcPr>
          <w:p w14:paraId="150A9D55" w14:textId="1D37C9DC"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36</w:t>
            </w:r>
          </w:p>
        </w:tc>
        <w:tc>
          <w:tcPr>
            <w:tcW w:w="3981" w:type="dxa"/>
          </w:tcPr>
          <w:p w14:paraId="5342850B" w14:textId="2D8180C1"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National Civil Society Organization of Liberia</w:t>
            </w:r>
          </w:p>
        </w:tc>
      </w:tr>
      <w:tr w:rsidR="004A3F96" w:rsidRPr="003F3C2F" w14:paraId="12496D91" w14:textId="77777777" w:rsidTr="004A3F96">
        <w:tc>
          <w:tcPr>
            <w:tcW w:w="535" w:type="dxa"/>
          </w:tcPr>
          <w:p w14:paraId="45EFDEF6" w14:textId="76BA1610"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16</w:t>
            </w:r>
          </w:p>
        </w:tc>
        <w:tc>
          <w:tcPr>
            <w:tcW w:w="3973" w:type="dxa"/>
          </w:tcPr>
          <w:p w14:paraId="1E49660D" w14:textId="779C3E2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Forestry Development Authority</w:t>
            </w:r>
          </w:p>
        </w:tc>
        <w:tc>
          <w:tcPr>
            <w:tcW w:w="527" w:type="dxa"/>
          </w:tcPr>
          <w:p w14:paraId="00DCBCAB" w14:textId="5D9F78AD"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37</w:t>
            </w:r>
          </w:p>
        </w:tc>
        <w:tc>
          <w:tcPr>
            <w:tcW w:w="3981" w:type="dxa"/>
          </w:tcPr>
          <w:p w14:paraId="2F3EAB96" w14:textId="3139844B"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Sustainable Development Institute</w:t>
            </w:r>
          </w:p>
        </w:tc>
      </w:tr>
      <w:tr w:rsidR="004A3F96" w:rsidRPr="003F3C2F" w14:paraId="08239C27" w14:textId="77777777" w:rsidTr="004A3F96">
        <w:tc>
          <w:tcPr>
            <w:tcW w:w="535" w:type="dxa"/>
          </w:tcPr>
          <w:p w14:paraId="4E9A9557" w14:textId="3C3FA958"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lastRenderedPageBreak/>
              <w:t>17</w:t>
            </w:r>
          </w:p>
        </w:tc>
        <w:tc>
          <w:tcPr>
            <w:tcW w:w="3973" w:type="dxa"/>
          </w:tcPr>
          <w:p w14:paraId="1B600259" w14:textId="0CC5130F"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Electricity Corporation</w:t>
            </w:r>
          </w:p>
        </w:tc>
        <w:tc>
          <w:tcPr>
            <w:tcW w:w="527" w:type="dxa"/>
          </w:tcPr>
          <w:p w14:paraId="4D46DEB5" w14:textId="01D2AA74"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38</w:t>
            </w:r>
          </w:p>
        </w:tc>
        <w:tc>
          <w:tcPr>
            <w:tcW w:w="3981" w:type="dxa"/>
          </w:tcPr>
          <w:p w14:paraId="32DA9F72" w14:textId="6827A98A"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Society for the Conservation of Nature Liberia</w:t>
            </w:r>
          </w:p>
        </w:tc>
      </w:tr>
      <w:tr w:rsidR="004A3F96" w:rsidRPr="003F3C2F" w14:paraId="0FBB2BB8" w14:textId="77777777" w:rsidTr="004A3F96">
        <w:tc>
          <w:tcPr>
            <w:tcW w:w="535" w:type="dxa"/>
          </w:tcPr>
          <w:p w14:paraId="47418005" w14:textId="32B28FA9"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18</w:t>
            </w:r>
          </w:p>
        </w:tc>
        <w:tc>
          <w:tcPr>
            <w:tcW w:w="3973" w:type="dxa"/>
          </w:tcPr>
          <w:p w14:paraId="36D9256C" w14:textId="0AFFD31B"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National Investment Commission</w:t>
            </w:r>
          </w:p>
        </w:tc>
        <w:tc>
          <w:tcPr>
            <w:tcW w:w="527" w:type="dxa"/>
          </w:tcPr>
          <w:p w14:paraId="437D5F66" w14:textId="37FFBB3D"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39</w:t>
            </w:r>
          </w:p>
        </w:tc>
        <w:tc>
          <w:tcPr>
            <w:tcW w:w="3981" w:type="dxa"/>
          </w:tcPr>
          <w:p w14:paraId="3BC1AA9D" w14:textId="04D973A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Nature Compat</w:t>
            </w:r>
          </w:p>
        </w:tc>
      </w:tr>
      <w:tr w:rsidR="004A3F96" w:rsidRPr="003F3C2F" w14:paraId="3CA9D030" w14:textId="77777777" w:rsidTr="004A3F96">
        <w:tc>
          <w:tcPr>
            <w:tcW w:w="535" w:type="dxa"/>
          </w:tcPr>
          <w:p w14:paraId="43A1EAE8" w14:textId="74C0B6F7"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19</w:t>
            </w:r>
          </w:p>
        </w:tc>
        <w:tc>
          <w:tcPr>
            <w:tcW w:w="3973" w:type="dxa"/>
          </w:tcPr>
          <w:p w14:paraId="35BDAA76" w14:textId="5CF1A65F"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National Public Health Institute</w:t>
            </w:r>
          </w:p>
        </w:tc>
        <w:tc>
          <w:tcPr>
            <w:tcW w:w="527" w:type="dxa"/>
          </w:tcPr>
          <w:p w14:paraId="48414516" w14:textId="7D072C25"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40</w:t>
            </w:r>
          </w:p>
        </w:tc>
        <w:tc>
          <w:tcPr>
            <w:tcW w:w="3981" w:type="dxa"/>
          </w:tcPr>
          <w:p w14:paraId="0B043D21" w14:textId="78D381E4"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 xml:space="preserve">Liberia Endangered Species Association </w:t>
            </w:r>
          </w:p>
        </w:tc>
      </w:tr>
      <w:tr w:rsidR="004A3F96" w:rsidRPr="003F3C2F" w14:paraId="325BE224" w14:textId="77777777" w:rsidTr="004A3F96">
        <w:tc>
          <w:tcPr>
            <w:tcW w:w="535" w:type="dxa"/>
          </w:tcPr>
          <w:p w14:paraId="3E5F6281" w14:textId="5D6F1DDE"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20</w:t>
            </w:r>
          </w:p>
        </w:tc>
        <w:tc>
          <w:tcPr>
            <w:tcW w:w="3973" w:type="dxa"/>
          </w:tcPr>
          <w:p w14:paraId="6C52CCD2" w14:textId="34DAD35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Liberia Chambers of Commerce</w:t>
            </w:r>
          </w:p>
        </w:tc>
        <w:tc>
          <w:tcPr>
            <w:tcW w:w="527" w:type="dxa"/>
          </w:tcPr>
          <w:p w14:paraId="3F888BF3" w14:textId="78547CB5"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41</w:t>
            </w:r>
          </w:p>
        </w:tc>
        <w:tc>
          <w:tcPr>
            <w:tcW w:w="3981" w:type="dxa"/>
          </w:tcPr>
          <w:p w14:paraId="746DC643" w14:textId="7321A293"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Firestone Liberia</w:t>
            </w:r>
          </w:p>
        </w:tc>
      </w:tr>
      <w:tr w:rsidR="004A3F96" w:rsidRPr="003F3C2F" w14:paraId="081D4646" w14:textId="77777777" w:rsidTr="004A3F96">
        <w:tc>
          <w:tcPr>
            <w:tcW w:w="535" w:type="dxa"/>
          </w:tcPr>
          <w:p w14:paraId="3110FCAA" w14:textId="7CEE831C"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21</w:t>
            </w:r>
          </w:p>
        </w:tc>
        <w:tc>
          <w:tcPr>
            <w:tcW w:w="3973" w:type="dxa"/>
          </w:tcPr>
          <w:p w14:paraId="73B9CFA2" w14:textId="54935B40"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ArcelorMittal Liberia</w:t>
            </w:r>
          </w:p>
        </w:tc>
        <w:tc>
          <w:tcPr>
            <w:tcW w:w="527" w:type="dxa"/>
          </w:tcPr>
          <w:p w14:paraId="3A5F7DCD" w14:textId="49D3181A" w:rsidR="004A3F96" w:rsidRPr="003F3C2F" w:rsidRDefault="00D444CC" w:rsidP="004A3F96">
            <w:pPr>
              <w:pStyle w:val="BodyText"/>
              <w:ind w:left="0"/>
              <w:rPr>
                <w:rFonts w:ascii="Times New Roman" w:hAnsi="Times New Roman"/>
                <w:sz w:val="24"/>
                <w:szCs w:val="24"/>
              </w:rPr>
            </w:pPr>
            <w:r w:rsidRPr="003F3C2F">
              <w:rPr>
                <w:rFonts w:ascii="Times New Roman" w:hAnsi="Times New Roman"/>
                <w:sz w:val="24"/>
                <w:szCs w:val="24"/>
              </w:rPr>
              <w:t>42</w:t>
            </w:r>
          </w:p>
        </w:tc>
        <w:tc>
          <w:tcPr>
            <w:tcW w:w="3981" w:type="dxa"/>
          </w:tcPr>
          <w:p w14:paraId="7C69F65D" w14:textId="665839DD" w:rsidR="004A3F96" w:rsidRPr="003F3C2F" w:rsidRDefault="004A3F96" w:rsidP="004A3F96">
            <w:pPr>
              <w:pStyle w:val="BodyText"/>
              <w:ind w:left="0"/>
              <w:rPr>
                <w:rFonts w:ascii="Times New Roman" w:hAnsi="Times New Roman"/>
                <w:sz w:val="24"/>
                <w:szCs w:val="24"/>
              </w:rPr>
            </w:pPr>
            <w:r w:rsidRPr="003F3C2F">
              <w:rPr>
                <w:rFonts w:ascii="Times New Roman" w:hAnsi="Times New Roman"/>
                <w:sz w:val="24"/>
                <w:szCs w:val="24"/>
              </w:rPr>
              <w:t>Green Gold-Liberia</w:t>
            </w:r>
          </w:p>
        </w:tc>
      </w:tr>
    </w:tbl>
    <w:p w14:paraId="0DECA0F4" w14:textId="737F9243" w:rsidR="00BA23C9" w:rsidRPr="003F3C2F" w:rsidRDefault="009A6BAB" w:rsidP="00BA23C9">
      <w:pPr>
        <w:pStyle w:val="Heading3"/>
        <w:numPr>
          <w:ilvl w:val="2"/>
          <w:numId w:val="12"/>
        </w:numPr>
        <w:spacing w:before="240" w:after="240" w:line="276" w:lineRule="auto"/>
        <w:ind w:left="709" w:hanging="360"/>
        <w:rPr>
          <w:szCs w:val="28"/>
        </w:rPr>
      </w:pPr>
      <w:bookmarkStart w:id="34" w:name="_Toc199455920"/>
      <w:bookmarkStart w:id="35" w:name="_Toc205444878"/>
      <w:r w:rsidRPr="003F3C2F">
        <w:rPr>
          <w:szCs w:val="28"/>
        </w:rPr>
        <w:t>Technical and Regional Consultations</w:t>
      </w:r>
      <w:bookmarkEnd w:id="34"/>
      <w:bookmarkEnd w:id="35"/>
    </w:p>
    <w:p w14:paraId="7C9AC511" w14:textId="71CE95AB" w:rsidR="00D444CC" w:rsidRPr="003F3C2F" w:rsidRDefault="00D444CC" w:rsidP="00BA23C9">
      <w:pPr>
        <w:pStyle w:val="BodyText"/>
        <w:ind w:left="0"/>
        <w:rPr>
          <w:rFonts w:ascii="Times New Roman" w:hAnsi="Times New Roman"/>
          <w:sz w:val="24"/>
          <w:szCs w:val="24"/>
        </w:rPr>
      </w:pPr>
      <w:r w:rsidRPr="003F3C2F">
        <w:rPr>
          <w:rFonts w:ascii="Times New Roman" w:hAnsi="Times New Roman"/>
          <w:sz w:val="24"/>
          <w:szCs w:val="24"/>
        </w:rPr>
        <w:t>Several</w:t>
      </w:r>
      <w:r w:rsidR="00BA23C9" w:rsidRPr="003F3C2F">
        <w:rPr>
          <w:rFonts w:ascii="Times New Roman" w:hAnsi="Times New Roman"/>
          <w:sz w:val="24"/>
          <w:szCs w:val="24"/>
        </w:rPr>
        <w:t xml:space="preserve"> technical consultations</w:t>
      </w:r>
      <w:r w:rsidRPr="003F3C2F">
        <w:rPr>
          <w:rFonts w:ascii="Times New Roman" w:hAnsi="Times New Roman"/>
          <w:sz w:val="24"/>
          <w:szCs w:val="24"/>
        </w:rPr>
        <w:t xml:space="preserve"> were</w:t>
      </w:r>
      <w:r w:rsidR="00BA23C9" w:rsidRPr="003F3C2F">
        <w:rPr>
          <w:rFonts w:ascii="Times New Roman" w:hAnsi="Times New Roman"/>
          <w:sz w:val="24"/>
          <w:szCs w:val="24"/>
        </w:rPr>
        <w:t xml:space="preserve"> held</w:t>
      </w:r>
      <w:r w:rsidRPr="003F3C2F">
        <w:rPr>
          <w:rFonts w:ascii="Times New Roman" w:hAnsi="Times New Roman"/>
          <w:sz w:val="24"/>
          <w:szCs w:val="24"/>
        </w:rPr>
        <w:t xml:space="preserve"> along with</w:t>
      </w:r>
      <w:r w:rsidR="00BA23C9" w:rsidRPr="003F3C2F">
        <w:rPr>
          <w:rFonts w:ascii="Times New Roman" w:hAnsi="Times New Roman"/>
          <w:sz w:val="24"/>
          <w:szCs w:val="24"/>
        </w:rPr>
        <w:t xml:space="preserve"> three regional </w:t>
      </w:r>
      <w:r w:rsidR="006C445E" w:rsidRPr="003F3C2F">
        <w:rPr>
          <w:rFonts w:ascii="Times New Roman" w:hAnsi="Times New Roman"/>
          <w:sz w:val="24"/>
          <w:szCs w:val="24"/>
        </w:rPr>
        <w:t>consultations</w:t>
      </w:r>
      <w:r w:rsidR="00BA23C9" w:rsidRPr="003F3C2F">
        <w:rPr>
          <w:rFonts w:ascii="Times New Roman" w:hAnsi="Times New Roman"/>
          <w:sz w:val="24"/>
          <w:szCs w:val="24"/>
        </w:rPr>
        <w:t xml:space="preserve"> during the NDC 3.0 development process.</w:t>
      </w:r>
      <w:r w:rsidRPr="003F3C2F">
        <w:rPr>
          <w:rFonts w:ascii="Times New Roman" w:hAnsi="Times New Roman"/>
          <w:sz w:val="24"/>
          <w:szCs w:val="24"/>
        </w:rPr>
        <w:t xml:space="preserve"> The EPA convened the first technical meeting with </w:t>
      </w:r>
      <w:r w:rsidR="00BA23C9" w:rsidRPr="003F3C2F">
        <w:rPr>
          <w:rFonts w:ascii="Times New Roman" w:hAnsi="Times New Roman"/>
          <w:sz w:val="24"/>
          <w:szCs w:val="24"/>
        </w:rPr>
        <w:t xml:space="preserve">technicians, policymakers, and sectoral stakeholders to review progress on NDC 2.0, identify gaps, and propose actionable strategies for NDC 3.0, aligning with Liberia’s commitment to reduce greenhouse gas (GHG) emissions by 64% below business-as-usual levels by 2030. Key sectoral presentations on forestry, fisheries, health, freshwater ecosystems, children’s rights, and climate integration into national and county development plans highlighted significant achievements, including a 20.47% GHG emission reduction from 2021 to 2024, alongside challenges such as inadequate funding, weak coordination, and limited data systems. </w:t>
      </w:r>
    </w:p>
    <w:p w14:paraId="58870A7F" w14:textId="77777777" w:rsidR="00D444CC" w:rsidRPr="003F3C2F" w:rsidRDefault="00D444CC" w:rsidP="00D444CC">
      <w:pPr>
        <w:pStyle w:val="BodyText"/>
        <w:ind w:left="0"/>
        <w:rPr>
          <w:rFonts w:ascii="Times New Roman" w:hAnsi="Times New Roman"/>
          <w:sz w:val="24"/>
          <w:szCs w:val="24"/>
        </w:rPr>
      </w:pPr>
      <w:r w:rsidRPr="003F3C2F">
        <w:rPr>
          <w:rFonts w:ascii="Times New Roman" w:hAnsi="Times New Roman"/>
          <w:sz w:val="24"/>
          <w:szCs w:val="24"/>
        </w:rPr>
        <w:t xml:space="preserve">Thereafter, another meeting was convened with the consultants and a team of GHG data analysts to review national circumstances for adjusting or keeping certain targets that have not been implemented under the previous NDCs. </w:t>
      </w:r>
    </w:p>
    <w:p w14:paraId="453184A0" w14:textId="4D745EB6" w:rsidR="00D444CC" w:rsidRPr="003F3C2F" w:rsidRDefault="00BA23C9" w:rsidP="00BA23C9">
      <w:pPr>
        <w:pStyle w:val="BodyText"/>
        <w:ind w:left="0"/>
        <w:rPr>
          <w:rFonts w:ascii="Times New Roman" w:hAnsi="Times New Roman"/>
          <w:sz w:val="24"/>
          <w:szCs w:val="24"/>
        </w:rPr>
      </w:pPr>
      <w:r w:rsidRPr="003F3C2F">
        <w:rPr>
          <w:rFonts w:ascii="Times New Roman" w:hAnsi="Times New Roman"/>
          <w:sz w:val="24"/>
          <w:szCs w:val="24"/>
        </w:rPr>
        <w:t>Some key highlights proposed during th</w:t>
      </w:r>
      <w:r w:rsidR="00D444CC" w:rsidRPr="003F3C2F">
        <w:rPr>
          <w:rFonts w:ascii="Times New Roman" w:hAnsi="Times New Roman"/>
          <w:sz w:val="24"/>
          <w:szCs w:val="24"/>
        </w:rPr>
        <w:t>e technical meetings</w:t>
      </w:r>
      <w:r w:rsidRPr="003F3C2F">
        <w:rPr>
          <w:rFonts w:ascii="Times New Roman" w:hAnsi="Times New Roman"/>
          <w:sz w:val="24"/>
          <w:szCs w:val="24"/>
        </w:rPr>
        <w:t xml:space="preserve"> included</w:t>
      </w:r>
      <w:r w:rsidR="00D444CC" w:rsidRPr="003F3C2F">
        <w:rPr>
          <w:rFonts w:ascii="Times New Roman" w:hAnsi="Times New Roman"/>
          <w:sz w:val="24"/>
          <w:szCs w:val="24"/>
        </w:rPr>
        <w:t>:</w:t>
      </w:r>
      <w:r w:rsidRPr="003F3C2F">
        <w:rPr>
          <w:rFonts w:ascii="Times New Roman" w:hAnsi="Times New Roman"/>
          <w:sz w:val="24"/>
          <w:szCs w:val="24"/>
        </w:rPr>
        <w:t xml:space="preserve"> a call for strengthening governance frameworks, enhancing data-driven reporting through the Biennial Transparency Report (BTR) and Liberia’s third National Communication (TNC), and fostering transboundary and international partnerships to unlock climate finance. The participants further proposed innovative solutions like renewable energy and ecosystem-based adaptation to achieve a low-emission, climate-resilient future. </w:t>
      </w:r>
    </w:p>
    <w:p w14:paraId="695170E1" w14:textId="14543A6A" w:rsidR="00BA23C9" w:rsidRPr="003F3C2F" w:rsidRDefault="00BA23C9" w:rsidP="00BA23C9">
      <w:pPr>
        <w:pStyle w:val="BodyText"/>
        <w:ind w:left="0"/>
        <w:rPr>
          <w:rFonts w:ascii="Times New Roman" w:hAnsi="Times New Roman"/>
          <w:sz w:val="24"/>
          <w:szCs w:val="24"/>
        </w:rPr>
      </w:pPr>
      <w:r w:rsidRPr="003F3C2F">
        <w:rPr>
          <w:rFonts w:ascii="Times New Roman" w:hAnsi="Times New Roman"/>
          <w:sz w:val="24"/>
          <w:szCs w:val="24"/>
        </w:rPr>
        <w:t>The roadmap developed during the workshops set a clear path for inclusive stakeholder engagement across all 15 counties, ensuring that NDC 3.0 reflects the aspirations and needs of all Liberians while contributing to global climate goals.</w:t>
      </w:r>
      <w:r w:rsidR="00D444CC" w:rsidRPr="003F3C2F">
        <w:rPr>
          <w:rFonts w:ascii="Times New Roman" w:hAnsi="Times New Roman"/>
          <w:sz w:val="24"/>
          <w:szCs w:val="24"/>
        </w:rPr>
        <w:t xml:space="preserve"> To this end, the EPA organized three (3) regional consultations to </w:t>
      </w:r>
      <w:r w:rsidR="006C445E" w:rsidRPr="003F3C2F">
        <w:rPr>
          <w:rFonts w:ascii="Times New Roman" w:hAnsi="Times New Roman"/>
          <w:sz w:val="24"/>
          <w:szCs w:val="24"/>
        </w:rPr>
        <w:t>create awareness on the NDC 3.0 but also to collect feedback from stakeholders on the issues affecting them relating to climate change and what solutions can be adopted. These regional consultations targeted mainly local communities, chiefs, local government authorities, farmers, etc.</w:t>
      </w:r>
    </w:p>
    <w:p w14:paraId="18B570A4" w14:textId="77777777" w:rsidR="00BA23C9" w:rsidRPr="003F3C2F" w:rsidRDefault="00BA23C9" w:rsidP="00BA23C9">
      <w:pPr>
        <w:pStyle w:val="BodyText"/>
        <w:ind w:left="0"/>
        <w:rPr>
          <w:rFonts w:ascii="Times New Roman" w:hAnsi="Times New Roman"/>
        </w:rPr>
      </w:pPr>
    </w:p>
    <w:p w14:paraId="66ADF688" w14:textId="4A182917" w:rsidR="00BA23C9" w:rsidRPr="003F3C2F" w:rsidRDefault="009A6BAB" w:rsidP="00BA23C9">
      <w:pPr>
        <w:pStyle w:val="Heading3"/>
        <w:numPr>
          <w:ilvl w:val="2"/>
          <w:numId w:val="12"/>
        </w:numPr>
        <w:spacing w:before="240" w:after="240" w:line="276" w:lineRule="auto"/>
        <w:ind w:left="709" w:hanging="360"/>
        <w:rPr>
          <w:szCs w:val="28"/>
        </w:rPr>
      </w:pPr>
      <w:bookmarkStart w:id="36" w:name="_Toc199455921"/>
      <w:bookmarkStart w:id="37" w:name="_Toc205444879"/>
      <w:r w:rsidRPr="003F3C2F">
        <w:rPr>
          <w:szCs w:val="28"/>
        </w:rPr>
        <w:lastRenderedPageBreak/>
        <w:t>Technical/Expert Group</w:t>
      </w:r>
      <w:bookmarkEnd w:id="36"/>
      <w:r w:rsidR="006C445E" w:rsidRPr="003F3C2F">
        <w:rPr>
          <w:szCs w:val="28"/>
        </w:rPr>
        <w:t xml:space="preserve"> Workshops</w:t>
      </w:r>
      <w:bookmarkEnd w:id="37"/>
      <w:r w:rsidRPr="003F3C2F">
        <w:rPr>
          <w:szCs w:val="28"/>
        </w:rPr>
        <w:t xml:space="preserve"> </w:t>
      </w:r>
    </w:p>
    <w:p w14:paraId="7331A0FD" w14:textId="14130D85" w:rsidR="00BA23C9" w:rsidRPr="003F3C2F" w:rsidRDefault="00BA23C9" w:rsidP="006C445E">
      <w:pPr>
        <w:spacing w:line="276" w:lineRule="auto"/>
        <w:jc w:val="both"/>
        <w:rPr>
          <w:sz w:val="24"/>
          <w:szCs w:val="24"/>
        </w:rPr>
      </w:pPr>
      <w:r w:rsidRPr="003F3C2F">
        <w:rPr>
          <w:sz w:val="24"/>
          <w:szCs w:val="24"/>
        </w:rPr>
        <w:t xml:space="preserve">About four </w:t>
      </w:r>
      <w:r w:rsidR="006C445E" w:rsidRPr="003F3C2F">
        <w:rPr>
          <w:sz w:val="24"/>
          <w:szCs w:val="24"/>
        </w:rPr>
        <w:t>sector-</w:t>
      </w:r>
      <w:r w:rsidRPr="003F3C2F">
        <w:rPr>
          <w:sz w:val="24"/>
          <w:szCs w:val="24"/>
        </w:rPr>
        <w:t>focused technical workshops were held</w:t>
      </w:r>
      <w:r w:rsidR="006C445E" w:rsidRPr="003F3C2F">
        <w:rPr>
          <w:sz w:val="24"/>
          <w:szCs w:val="24"/>
        </w:rPr>
        <w:t xml:space="preserve">. </w:t>
      </w:r>
      <w:r w:rsidRPr="003F3C2F">
        <w:rPr>
          <w:sz w:val="24"/>
          <w:szCs w:val="24"/>
        </w:rPr>
        <w:t>The first technical expert workshop was held to evaluate land use changes, agricultural practices, deforestation rates</w:t>
      </w:r>
      <w:r w:rsidR="006C445E" w:rsidRPr="003F3C2F">
        <w:rPr>
          <w:sz w:val="24"/>
          <w:szCs w:val="24"/>
        </w:rPr>
        <w:t>,</w:t>
      </w:r>
      <w:r w:rsidRPr="003F3C2F">
        <w:rPr>
          <w:sz w:val="24"/>
          <w:szCs w:val="24"/>
        </w:rPr>
        <w:t xml:space="preserve"> and carbon stock in forests and soils to set new targets in </w:t>
      </w:r>
      <w:r w:rsidR="006C445E" w:rsidRPr="003F3C2F">
        <w:rPr>
          <w:sz w:val="24"/>
          <w:szCs w:val="24"/>
        </w:rPr>
        <w:t xml:space="preserve">the </w:t>
      </w:r>
      <w:r w:rsidRPr="003F3C2F">
        <w:rPr>
          <w:sz w:val="24"/>
          <w:szCs w:val="24"/>
        </w:rPr>
        <w:t xml:space="preserve">AFOLU sector for inclusion into NDC 3.0. The second technical workshop focused on assessing the status of freshwater ecosystems (lakes, rivers, </w:t>
      </w:r>
      <w:r w:rsidR="006C445E" w:rsidRPr="003F3C2F">
        <w:rPr>
          <w:sz w:val="24"/>
          <w:szCs w:val="24"/>
        </w:rPr>
        <w:t>wetlands, and aquifers) and gathering baseline data on water quality, quantity, biodiversity, and existing pressure, including pollution, over-extraction, and climate impacts,</w:t>
      </w:r>
      <w:r w:rsidRPr="003F3C2F">
        <w:rPr>
          <w:sz w:val="24"/>
          <w:szCs w:val="24"/>
        </w:rPr>
        <w:t xml:space="preserve"> </w:t>
      </w:r>
      <w:r w:rsidR="006C445E" w:rsidRPr="003F3C2F">
        <w:rPr>
          <w:sz w:val="24"/>
          <w:szCs w:val="24"/>
        </w:rPr>
        <w:t>to</w:t>
      </w:r>
      <w:r w:rsidRPr="003F3C2F">
        <w:rPr>
          <w:sz w:val="24"/>
          <w:szCs w:val="24"/>
        </w:rPr>
        <w:t xml:space="preserve"> </w:t>
      </w:r>
      <w:r w:rsidR="006C445E" w:rsidRPr="003F3C2F">
        <w:rPr>
          <w:sz w:val="24"/>
          <w:szCs w:val="24"/>
        </w:rPr>
        <w:t>inform</w:t>
      </w:r>
      <w:r w:rsidRPr="003F3C2F">
        <w:rPr>
          <w:sz w:val="24"/>
          <w:szCs w:val="24"/>
        </w:rPr>
        <w:t xml:space="preserve"> freshwater targets for NDC 3.0</w:t>
      </w:r>
      <w:r w:rsidR="006C445E" w:rsidRPr="003F3C2F">
        <w:rPr>
          <w:sz w:val="24"/>
          <w:szCs w:val="24"/>
        </w:rPr>
        <w:t>.</w:t>
      </w:r>
      <w:r w:rsidRPr="003F3C2F">
        <w:rPr>
          <w:sz w:val="24"/>
          <w:szCs w:val="24"/>
        </w:rPr>
        <w:t xml:space="preserve"> The third</w:t>
      </w:r>
      <w:r w:rsidR="006C445E" w:rsidRPr="003F3C2F">
        <w:rPr>
          <w:sz w:val="24"/>
          <w:szCs w:val="24"/>
        </w:rPr>
        <w:t xml:space="preserve"> </w:t>
      </w:r>
      <w:r w:rsidRPr="003F3C2F">
        <w:rPr>
          <w:sz w:val="24"/>
          <w:szCs w:val="24"/>
        </w:rPr>
        <w:t xml:space="preserve">technical expert workshop was organized to consult with stakeholders, including government agencies, private sector entities, and civil society, to determine which sectors should be prioritized </w:t>
      </w:r>
      <w:r w:rsidR="006C445E" w:rsidRPr="003F3C2F">
        <w:rPr>
          <w:sz w:val="24"/>
          <w:szCs w:val="24"/>
        </w:rPr>
        <w:t>for</w:t>
      </w:r>
      <w:r w:rsidRPr="003F3C2F">
        <w:rPr>
          <w:sz w:val="24"/>
          <w:szCs w:val="24"/>
        </w:rPr>
        <w:t xml:space="preserve"> inclu</w:t>
      </w:r>
      <w:r w:rsidR="006C445E" w:rsidRPr="003F3C2F">
        <w:rPr>
          <w:sz w:val="24"/>
          <w:szCs w:val="24"/>
        </w:rPr>
        <w:t>sion</w:t>
      </w:r>
      <w:r w:rsidRPr="003F3C2F">
        <w:rPr>
          <w:sz w:val="24"/>
          <w:szCs w:val="24"/>
        </w:rPr>
        <w:t xml:space="preserve"> in NDC 3.0. This workshop identified WASH, Youth, Children, Gender, land rights, and education as cross-cutting issues in NDC. 3.0. At the end of the third technical expert workshop, it was agreed that Liberia present six (6) mitigation sectors for the NDC 3.0. The fourth technical expert workshop was held to identify and prioritize adaptation options for the WASH sector. </w:t>
      </w:r>
    </w:p>
    <w:p w14:paraId="73E6C761" w14:textId="77777777" w:rsidR="00BA23C9" w:rsidRPr="003F3C2F" w:rsidRDefault="00BA23C9" w:rsidP="00BA23C9">
      <w:pPr>
        <w:pStyle w:val="BodyText"/>
        <w:ind w:left="0"/>
        <w:rPr>
          <w:rFonts w:ascii="Times New Roman" w:hAnsi="Times New Roman"/>
        </w:rPr>
      </w:pPr>
    </w:p>
    <w:p w14:paraId="0ED6D9BD" w14:textId="293DE8F9" w:rsidR="00BA23C9" w:rsidRPr="003F3C2F" w:rsidRDefault="009A6BAB" w:rsidP="00BA23C9">
      <w:pPr>
        <w:pStyle w:val="Heading3"/>
        <w:numPr>
          <w:ilvl w:val="2"/>
          <w:numId w:val="12"/>
        </w:numPr>
        <w:spacing w:before="240" w:after="240" w:line="276" w:lineRule="auto"/>
        <w:ind w:left="709" w:hanging="360"/>
        <w:rPr>
          <w:szCs w:val="28"/>
        </w:rPr>
      </w:pPr>
      <w:bookmarkStart w:id="38" w:name="_Toc199455922"/>
      <w:bookmarkStart w:id="39" w:name="_Toc205444880"/>
      <w:r w:rsidRPr="003F3C2F">
        <w:rPr>
          <w:szCs w:val="28"/>
        </w:rPr>
        <w:t>Children, Youth Gender Dialogue</w:t>
      </w:r>
      <w:bookmarkEnd w:id="38"/>
      <w:bookmarkEnd w:id="39"/>
      <w:r w:rsidRPr="003F3C2F">
        <w:rPr>
          <w:szCs w:val="28"/>
        </w:rPr>
        <w:t xml:space="preserve"> </w:t>
      </w:r>
    </w:p>
    <w:p w14:paraId="2595FF10" w14:textId="7740354F" w:rsidR="00BA23C9" w:rsidRPr="003F3C2F" w:rsidRDefault="006C445E" w:rsidP="00BA23C9">
      <w:pPr>
        <w:spacing w:line="276" w:lineRule="auto"/>
        <w:jc w:val="both"/>
        <w:rPr>
          <w:sz w:val="24"/>
          <w:szCs w:val="24"/>
        </w:rPr>
      </w:pPr>
      <w:r w:rsidRPr="003F3C2F">
        <w:rPr>
          <w:sz w:val="24"/>
          <w:szCs w:val="24"/>
        </w:rPr>
        <w:t>Ensuring that all stakeholders are engaged, a</w:t>
      </w:r>
      <w:r w:rsidR="00BA23C9" w:rsidRPr="003F3C2F">
        <w:rPr>
          <w:sz w:val="24"/>
          <w:szCs w:val="24"/>
        </w:rPr>
        <w:t xml:space="preserve"> dialogue was held around the identification and prioritization of children, youth, and Gender-led actions to be included in the updated NDC 3.0. This workshop produced the </w:t>
      </w:r>
      <w:r w:rsidR="00BA23C9" w:rsidRPr="003F3C2F">
        <w:rPr>
          <w:b/>
          <w:bCs/>
          <w:sz w:val="24"/>
          <w:szCs w:val="24"/>
        </w:rPr>
        <w:t>Ganta Declaration for Children, Youth</w:t>
      </w:r>
      <w:r w:rsidR="0087129A" w:rsidRPr="003F3C2F">
        <w:rPr>
          <w:b/>
          <w:bCs/>
          <w:sz w:val="24"/>
          <w:szCs w:val="24"/>
        </w:rPr>
        <w:t>, and</w:t>
      </w:r>
      <w:r w:rsidR="00BA23C9" w:rsidRPr="003F3C2F">
        <w:rPr>
          <w:b/>
          <w:bCs/>
          <w:sz w:val="24"/>
          <w:szCs w:val="24"/>
        </w:rPr>
        <w:t xml:space="preserve"> Gender</w:t>
      </w:r>
      <w:r w:rsidR="00BA23C9" w:rsidRPr="003F3C2F">
        <w:rPr>
          <w:sz w:val="24"/>
          <w:szCs w:val="24"/>
        </w:rPr>
        <w:t xml:space="preserve">. The Ganta declaration is a reaffirmation of the previous “Ganta Declaration” in NDC 2.0, but this time with a new call to include Children, Youth, Gender, </w:t>
      </w:r>
      <w:r w:rsidRPr="003F3C2F">
        <w:rPr>
          <w:sz w:val="24"/>
          <w:szCs w:val="24"/>
        </w:rPr>
        <w:t xml:space="preserve">and </w:t>
      </w:r>
      <w:r w:rsidR="00BA23C9" w:rsidRPr="003F3C2F">
        <w:rPr>
          <w:sz w:val="24"/>
          <w:szCs w:val="24"/>
        </w:rPr>
        <w:t>Persons</w:t>
      </w:r>
      <w:r w:rsidRPr="003F3C2F">
        <w:rPr>
          <w:sz w:val="24"/>
          <w:szCs w:val="24"/>
        </w:rPr>
        <w:t>-L</w:t>
      </w:r>
      <w:r w:rsidR="00BA23C9" w:rsidRPr="003F3C2F">
        <w:rPr>
          <w:sz w:val="24"/>
          <w:szCs w:val="24"/>
        </w:rPr>
        <w:t>iving</w:t>
      </w:r>
      <w:r w:rsidRPr="003F3C2F">
        <w:rPr>
          <w:sz w:val="24"/>
          <w:szCs w:val="24"/>
        </w:rPr>
        <w:t>-W</w:t>
      </w:r>
      <w:r w:rsidR="00BA23C9" w:rsidRPr="003F3C2F">
        <w:rPr>
          <w:sz w:val="24"/>
          <w:szCs w:val="24"/>
        </w:rPr>
        <w:t>ith</w:t>
      </w:r>
      <w:r w:rsidRPr="003F3C2F">
        <w:rPr>
          <w:sz w:val="24"/>
          <w:szCs w:val="24"/>
        </w:rPr>
        <w:t>-D</w:t>
      </w:r>
      <w:r w:rsidR="00BA23C9" w:rsidRPr="003F3C2F">
        <w:rPr>
          <w:sz w:val="24"/>
          <w:szCs w:val="24"/>
        </w:rPr>
        <w:t>isabilities PWDs</w:t>
      </w:r>
      <w:r w:rsidRPr="003F3C2F">
        <w:rPr>
          <w:sz w:val="24"/>
          <w:szCs w:val="24"/>
        </w:rPr>
        <w:t>),</w:t>
      </w:r>
      <w:r w:rsidR="00BA23C9" w:rsidRPr="003F3C2F">
        <w:rPr>
          <w:sz w:val="24"/>
          <w:szCs w:val="24"/>
        </w:rPr>
        <w:t xml:space="preserve"> and that their inclusive priorities should be considered across key sectors within the NDC 3.0.  They categorically emphasized that national investments must focus on scaling up agroecology; ensuring that at least 70 percent of agricultural financing is directed toward initiatives led by women and youth. Additionally, </w:t>
      </w:r>
      <w:r w:rsidRPr="003F3C2F">
        <w:rPr>
          <w:sz w:val="24"/>
          <w:szCs w:val="24"/>
        </w:rPr>
        <w:t>the declaration</w:t>
      </w:r>
      <w:r w:rsidR="00BA23C9" w:rsidRPr="003F3C2F">
        <w:rPr>
          <w:sz w:val="24"/>
          <w:szCs w:val="24"/>
        </w:rPr>
        <w:t xml:space="preserve"> called for the establishment of a National Agricultural Development Fund that should be accessible to smallholder farmers from marginalized communities. And lastly, the full implementation of the Land Rights Law as a prerequisite for ensuring land security for youth and women, alongside legal literacy campaigns aimed at reaching at least 10,000 individuals by 2030.</w:t>
      </w:r>
    </w:p>
    <w:p w14:paraId="2E419E33" w14:textId="77777777" w:rsidR="00BA23C9" w:rsidRPr="003F3C2F" w:rsidRDefault="00BA23C9" w:rsidP="00BA23C9">
      <w:pPr>
        <w:pStyle w:val="BodyText"/>
        <w:ind w:left="0"/>
        <w:rPr>
          <w:rFonts w:ascii="Times New Roman" w:hAnsi="Times New Roman"/>
        </w:rPr>
      </w:pPr>
    </w:p>
    <w:p w14:paraId="4C0DEA17" w14:textId="77777777" w:rsidR="009A6BAB" w:rsidRPr="003F3C2F" w:rsidRDefault="009A6BAB" w:rsidP="009A6BAB">
      <w:pPr>
        <w:pStyle w:val="Heading3"/>
        <w:numPr>
          <w:ilvl w:val="2"/>
          <w:numId w:val="12"/>
        </w:numPr>
        <w:spacing w:before="240" w:after="240" w:line="276" w:lineRule="auto"/>
        <w:ind w:left="709" w:hanging="360"/>
        <w:rPr>
          <w:szCs w:val="28"/>
          <w:highlight w:val="yellow"/>
        </w:rPr>
      </w:pPr>
      <w:bookmarkStart w:id="40" w:name="_Toc199455923"/>
      <w:bookmarkStart w:id="41" w:name="_Toc205444881"/>
      <w:r w:rsidRPr="003F3C2F">
        <w:rPr>
          <w:szCs w:val="28"/>
          <w:highlight w:val="yellow"/>
        </w:rPr>
        <w:t>Private Sector and CSO Dialogue</w:t>
      </w:r>
      <w:bookmarkEnd w:id="40"/>
      <w:bookmarkEnd w:id="41"/>
    </w:p>
    <w:p w14:paraId="4CDA60B4" w14:textId="16A60F26" w:rsidR="009A6BAB" w:rsidRPr="003F3C2F" w:rsidRDefault="0087129A" w:rsidP="009A6BAB">
      <w:pPr>
        <w:rPr>
          <w:i/>
          <w:iCs/>
          <w:sz w:val="22"/>
          <w:szCs w:val="22"/>
          <w:highlight w:val="yellow"/>
        </w:rPr>
      </w:pPr>
      <w:r w:rsidRPr="003F3C2F">
        <w:rPr>
          <w:i/>
          <w:iCs/>
          <w:sz w:val="22"/>
          <w:szCs w:val="22"/>
          <w:highlight w:val="yellow"/>
        </w:rPr>
        <w:t>(To be completed when held)</w:t>
      </w:r>
    </w:p>
    <w:p w14:paraId="70BCA5E4" w14:textId="77777777" w:rsidR="009A6BAB" w:rsidRPr="003F3C2F" w:rsidRDefault="009A6BAB" w:rsidP="009A6BAB">
      <w:pPr>
        <w:pStyle w:val="Heading3"/>
        <w:numPr>
          <w:ilvl w:val="2"/>
          <w:numId w:val="12"/>
        </w:numPr>
        <w:spacing w:before="240" w:after="240" w:line="276" w:lineRule="auto"/>
        <w:ind w:left="709" w:hanging="360"/>
        <w:rPr>
          <w:szCs w:val="28"/>
          <w:highlight w:val="yellow"/>
        </w:rPr>
      </w:pPr>
      <w:bookmarkStart w:id="42" w:name="_Toc199455924"/>
      <w:bookmarkStart w:id="43" w:name="_Toc205444882"/>
      <w:r w:rsidRPr="003F3C2F">
        <w:rPr>
          <w:szCs w:val="28"/>
          <w:highlight w:val="yellow"/>
        </w:rPr>
        <w:t>Regional Review and Validation of Liberia’s NDC</w:t>
      </w:r>
      <w:bookmarkEnd w:id="42"/>
      <w:bookmarkEnd w:id="43"/>
      <w:r w:rsidRPr="003F3C2F">
        <w:rPr>
          <w:szCs w:val="28"/>
          <w:highlight w:val="yellow"/>
        </w:rPr>
        <w:t xml:space="preserve"> </w:t>
      </w:r>
    </w:p>
    <w:p w14:paraId="10350721" w14:textId="16360DCC" w:rsidR="009A6BAB" w:rsidRPr="003F3C2F" w:rsidRDefault="0087129A" w:rsidP="009A6BAB">
      <w:pPr>
        <w:rPr>
          <w:i/>
          <w:iCs/>
          <w:sz w:val="22"/>
          <w:szCs w:val="22"/>
        </w:rPr>
      </w:pPr>
      <w:r w:rsidRPr="003F3C2F">
        <w:rPr>
          <w:i/>
          <w:iCs/>
          <w:sz w:val="22"/>
          <w:szCs w:val="22"/>
          <w:highlight w:val="yellow"/>
        </w:rPr>
        <w:t>To be completed following the validation of the NDC 3.0</w:t>
      </w:r>
    </w:p>
    <w:p w14:paraId="1F32CD28" w14:textId="289F18D0" w:rsidR="007C7CDD" w:rsidRPr="003F3C2F" w:rsidRDefault="007C7CDD">
      <w:pPr>
        <w:overflowPunct/>
        <w:autoSpaceDE/>
        <w:autoSpaceDN/>
        <w:adjustRightInd/>
        <w:spacing w:line="240" w:lineRule="auto"/>
        <w:textAlignment w:val="auto"/>
        <w:rPr>
          <w:sz w:val="18"/>
          <w:szCs w:val="18"/>
        </w:rPr>
      </w:pPr>
      <w:r w:rsidRPr="003F3C2F">
        <w:br w:type="page"/>
      </w:r>
    </w:p>
    <w:p w14:paraId="6193EA25" w14:textId="74759FF0" w:rsidR="00FE4745" w:rsidRPr="003F3C2F" w:rsidRDefault="00FE4745" w:rsidP="00F51FAF">
      <w:pPr>
        <w:pStyle w:val="Heading1"/>
        <w:numPr>
          <w:ilvl w:val="0"/>
          <w:numId w:val="12"/>
        </w:numPr>
        <w:spacing w:before="240" w:after="240" w:line="276" w:lineRule="auto"/>
        <w:ind w:left="360"/>
        <w:rPr>
          <w:bCs/>
        </w:rPr>
      </w:pPr>
      <w:bookmarkStart w:id="44" w:name="_Toc205444883"/>
      <w:r w:rsidRPr="003F3C2F">
        <w:rPr>
          <w:bCs/>
        </w:rPr>
        <w:lastRenderedPageBreak/>
        <w:t>CONTRIBUTIONS</w:t>
      </w:r>
      <w:bookmarkEnd w:id="44"/>
    </w:p>
    <w:p w14:paraId="58525F19" w14:textId="7A4CF4A8" w:rsidR="0091128A" w:rsidRPr="003F3C2F" w:rsidRDefault="00AB07B4" w:rsidP="0091128A">
      <w:pPr>
        <w:pStyle w:val="Heading2"/>
        <w:numPr>
          <w:ilvl w:val="1"/>
          <w:numId w:val="12"/>
        </w:numPr>
        <w:spacing w:before="240" w:after="240" w:line="276" w:lineRule="auto"/>
      </w:pPr>
      <w:bookmarkStart w:id="45" w:name="_Toc205444884"/>
      <w:r w:rsidRPr="003F3C2F">
        <w:t>Liberia NDC Implementation Achievements (2022-2024)</w:t>
      </w:r>
      <w:bookmarkEnd w:id="45"/>
    </w:p>
    <w:p w14:paraId="7A8CED82" w14:textId="2E580D01" w:rsidR="00BB2CDD" w:rsidRPr="003F3C2F" w:rsidRDefault="0091128A" w:rsidP="0091128A">
      <w:pPr>
        <w:pStyle w:val="BodyText"/>
        <w:spacing w:after="0"/>
        <w:ind w:left="0"/>
        <w:rPr>
          <w:rFonts w:ascii="Times New Roman" w:hAnsi="Times New Roman"/>
          <w:sz w:val="24"/>
          <w:szCs w:val="24"/>
        </w:rPr>
      </w:pPr>
      <w:r w:rsidRPr="003F3C2F">
        <w:rPr>
          <w:rFonts w:ascii="Times New Roman" w:hAnsi="Times New Roman"/>
          <w:sz w:val="24"/>
          <w:szCs w:val="24"/>
        </w:rPr>
        <w:t>Liberia NDC 2.0 implementation plan estimated that a total investment of about US$490,590,000</w:t>
      </w:r>
      <w:r w:rsidR="006C445E" w:rsidRPr="003F3C2F">
        <w:rPr>
          <w:rFonts w:ascii="Times New Roman" w:hAnsi="Times New Roman"/>
          <w:sz w:val="24"/>
          <w:szCs w:val="24"/>
        </w:rPr>
        <w:t xml:space="preserve">.00 </w:t>
      </w:r>
      <w:r w:rsidR="003F5167" w:rsidRPr="003F3C2F">
        <w:rPr>
          <w:rFonts w:ascii="Times New Roman" w:hAnsi="Times New Roman"/>
          <w:sz w:val="24"/>
          <w:szCs w:val="24"/>
        </w:rPr>
        <w:t>from 2021-</w:t>
      </w:r>
      <w:r w:rsidRPr="003F3C2F">
        <w:rPr>
          <w:rFonts w:ascii="Times New Roman" w:hAnsi="Times New Roman"/>
          <w:sz w:val="24"/>
          <w:szCs w:val="24"/>
        </w:rPr>
        <w:t>2025 was needed to achieve Liberia’s NDC mitigation and adaptation targets. Liberia stocktake report revealed that the country has achieved significant progress in the implementation of its NDC 2.0 between 202</w:t>
      </w:r>
      <w:r w:rsidR="003F5167" w:rsidRPr="003F3C2F">
        <w:rPr>
          <w:rFonts w:ascii="Times New Roman" w:hAnsi="Times New Roman"/>
          <w:sz w:val="24"/>
          <w:szCs w:val="24"/>
        </w:rPr>
        <w:t>1-</w:t>
      </w:r>
      <w:r w:rsidRPr="003F3C2F">
        <w:rPr>
          <w:rFonts w:ascii="Times New Roman" w:hAnsi="Times New Roman"/>
          <w:sz w:val="24"/>
          <w:szCs w:val="24"/>
        </w:rPr>
        <w:t xml:space="preserve">2024. The country received </w:t>
      </w:r>
      <w:r w:rsidR="003F5167" w:rsidRPr="003F3C2F">
        <w:rPr>
          <w:rFonts w:ascii="Times New Roman" w:hAnsi="Times New Roman"/>
          <w:sz w:val="24"/>
          <w:szCs w:val="24"/>
        </w:rPr>
        <w:t>huge commitments of about US$573.44 million. According to the stocktake, about US$212.95 million of the committed funding had been</w:t>
      </w:r>
      <w:r w:rsidRPr="003F3C2F">
        <w:rPr>
          <w:rFonts w:ascii="Times New Roman" w:hAnsi="Times New Roman"/>
          <w:sz w:val="24"/>
          <w:szCs w:val="24"/>
        </w:rPr>
        <w:t xml:space="preserve"> disbursed as of December 2024. Most of the funding committed and disbursed w</w:t>
      </w:r>
      <w:r w:rsidR="003F5167" w:rsidRPr="003F3C2F">
        <w:rPr>
          <w:rFonts w:ascii="Times New Roman" w:hAnsi="Times New Roman"/>
          <w:sz w:val="24"/>
          <w:szCs w:val="24"/>
        </w:rPr>
        <w:t>as</w:t>
      </w:r>
      <w:r w:rsidRPr="003F3C2F">
        <w:rPr>
          <w:rFonts w:ascii="Times New Roman" w:hAnsi="Times New Roman"/>
          <w:sz w:val="24"/>
          <w:szCs w:val="24"/>
        </w:rPr>
        <w:t xml:space="preserve"> allocated towards mitigation projects and programs</w:t>
      </w:r>
      <w:r w:rsidR="003F5167" w:rsidRPr="003F3C2F">
        <w:rPr>
          <w:rFonts w:ascii="Times New Roman" w:hAnsi="Times New Roman"/>
          <w:sz w:val="24"/>
          <w:szCs w:val="24"/>
        </w:rPr>
        <w:t>,</w:t>
      </w:r>
      <w:r w:rsidRPr="003F3C2F">
        <w:rPr>
          <w:rFonts w:ascii="Times New Roman" w:hAnsi="Times New Roman"/>
          <w:sz w:val="24"/>
          <w:szCs w:val="24"/>
        </w:rPr>
        <w:t xml:space="preserve"> </w:t>
      </w:r>
      <w:r w:rsidR="003F5167" w:rsidRPr="003F3C2F">
        <w:rPr>
          <w:rFonts w:ascii="Times New Roman" w:hAnsi="Times New Roman"/>
          <w:sz w:val="24"/>
          <w:szCs w:val="24"/>
        </w:rPr>
        <w:t>as well as</w:t>
      </w:r>
      <w:r w:rsidRPr="003F3C2F">
        <w:rPr>
          <w:rFonts w:ascii="Times New Roman" w:hAnsi="Times New Roman"/>
          <w:sz w:val="24"/>
          <w:szCs w:val="24"/>
        </w:rPr>
        <w:t xml:space="preserve"> cross-cutting activities</w:t>
      </w:r>
      <w:r w:rsidR="003F5167" w:rsidRPr="003F3C2F">
        <w:rPr>
          <w:rFonts w:ascii="Times New Roman" w:hAnsi="Times New Roman"/>
          <w:sz w:val="24"/>
          <w:szCs w:val="24"/>
        </w:rPr>
        <w:t xml:space="preserve">, including </w:t>
      </w:r>
      <w:r w:rsidRPr="003F3C2F">
        <w:rPr>
          <w:rFonts w:ascii="Times New Roman" w:hAnsi="Times New Roman"/>
          <w:sz w:val="24"/>
          <w:szCs w:val="24"/>
        </w:rPr>
        <w:t xml:space="preserve">mitigation actions with adaptation co-benefits. </w:t>
      </w:r>
    </w:p>
    <w:p w14:paraId="7443D4AA" w14:textId="77777777" w:rsidR="003F5167" w:rsidRPr="003F3C2F" w:rsidRDefault="003F5167" w:rsidP="0091128A">
      <w:pPr>
        <w:pStyle w:val="BodyText"/>
        <w:spacing w:after="0"/>
        <w:ind w:left="0"/>
        <w:rPr>
          <w:rFonts w:ascii="Times New Roman" w:hAnsi="Times New Roman"/>
          <w:sz w:val="24"/>
          <w:szCs w:val="24"/>
        </w:rPr>
      </w:pPr>
    </w:p>
    <w:p w14:paraId="3B21A86C" w14:textId="290177DB" w:rsidR="0091128A" w:rsidRPr="003F3C2F" w:rsidRDefault="0091128A" w:rsidP="0091128A">
      <w:pPr>
        <w:pStyle w:val="BodyText"/>
        <w:spacing w:after="0"/>
        <w:ind w:left="0"/>
        <w:rPr>
          <w:rFonts w:ascii="Times New Roman" w:hAnsi="Times New Roman"/>
          <w:sz w:val="24"/>
          <w:szCs w:val="24"/>
        </w:rPr>
      </w:pPr>
      <w:r w:rsidRPr="003F3C2F">
        <w:rPr>
          <w:rFonts w:ascii="Times New Roman" w:hAnsi="Times New Roman"/>
          <w:sz w:val="24"/>
          <w:szCs w:val="24"/>
        </w:rPr>
        <w:t xml:space="preserve">Overall, the report revealed significant GHG emission reductions in the energy, transport, and forestry sectors, achieving 20.47% of the targeted GHG reduction by 2024. However, it is </w:t>
      </w:r>
      <w:r w:rsidR="0087360F">
        <w:rPr>
          <w:rFonts w:ascii="Times New Roman" w:hAnsi="Times New Roman"/>
          <w:sz w:val="24"/>
          <w:szCs w:val="24"/>
        </w:rPr>
        <w:t>essential</w:t>
      </w:r>
      <w:r w:rsidRPr="003F3C2F">
        <w:rPr>
          <w:rFonts w:ascii="Times New Roman" w:hAnsi="Times New Roman"/>
          <w:sz w:val="24"/>
          <w:szCs w:val="24"/>
        </w:rPr>
        <w:t xml:space="preserve"> to note that of the total funding committed, about 36% is unconditional through concessional loans and in-kind contributions from the Government of Liberia, while 64% is conditional through grants. This demonstrates the government’s commitment to achieving the Paris Agreement through its NDC. </w:t>
      </w:r>
    </w:p>
    <w:p w14:paraId="5ED970FC" w14:textId="77777777" w:rsidR="00BB2CDD" w:rsidRPr="003F3C2F" w:rsidRDefault="00BB2CDD" w:rsidP="0091128A">
      <w:pPr>
        <w:pStyle w:val="BodyText"/>
        <w:spacing w:after="0"/>
        <w:ind w:left="0"/>
        <w:rPr>
          <w:rFonts w:ascii="Times New Roman" w:hAnsi="Times New Roman"/>
          <w:sz w:val="24"/>
          <w:szCs w:val="24"/>
        </w:rPr>
      </w:pPr>
    </w:p>
    <w:p w14:paraId="32020CC4" w14:textId="49BA2D7A" w:rsidR="003F5167" w:rsidRPr="003F3C2F" w:rsidRDefault="0091128A" w:rsidP="003F5167">
      <w:pPr>
        <w:pStyle w:val="BodyText"/>
        <w:spacing w:after="0"/>
        <w:ind w:left="0"/>
        <w:rPr>
          <w:rFonts w:ascii="Times New Roman" w:hAnsi="Times New Roman"/>
          <w:color w:val="000000" w:themeColor="text1"/>
          <w:sz w:val="24"/>
          <w:szCs w:val="24"/>
        </w:rPr>
      </w:pPr>
      <w:r w:rsidRPr="003F3C2F">
        <w:rPr>
          <w:rFonts w:ascii="Times New Roman" w:hAnsi="Times New Roman"/>
          <w:sz w:val="24"/>
          <w:szCs w:val="24"/>
        </w:rPr>
        <w:t>The implementation of Liberia’s NDC has a</w:t>
      </w:r>
      <w:r w:rsidR="003F5167" w:rsidRPr="003F3C2F">
        <w:rPr>
          <w:rFonts w:ascii="Times New Roman" w:hAnsi="Times New Roman"/>
          <w:sz w:val="24"/>
          <w:szCs w:val="24"/>
        </w:rPr>
        <w:t>lso</w:t>
      </w:r>
      <w:r w:rsidRPr="003F3C2F">
        <w:rPr>
          <w:rFonts w:ascii="Times New Roman" w:hAnsi="Times New Roman"/>
          <w:sz w:val="24"/>
          <w:szCs w:val="24"/>
        </w:rPr>
        <w:t xml:space="preserve"> </w:t>
      </w:r>
      <w:r w:rsidR="003F5167" w:rsidRPr="003F3C2F">
        <w:rPr>
          <w:rFonts w:ascii="Times New Roman" w:hAnsi="Times New Roman"/>
          <w:sz w:val="24"/>
          <w:szCs w:val="24"/>
        </w:rPr>
        <w:t>resulted in</w:t>
      </w:r>
      <w:r w:rsidRPr="003F3C2F">
        <w:rPr>
          <w:rFonts w:ascii="Times New Roman" w:hAnsi="Times New Roman"/>
          <w:sz w:val="24"/>
          <w:szCs w:val="24"/>
        </w:rPr>
        <w:t xml:space="preserve"> significant improvement</w:t>
      </w:r>
      <w:r w:rsidR="003F5167" w:rsidRPr="003F3C2F">
        <w:rPr>
          <w:rFonts w:ascii="Times New Roman" w:hAnsi="Times New Roman"/>
          <w:sz w:val="24"/>
          <w:szCs w:val="24"/>
        </w:rPr>
        <w:t>s</w:t>
      </w:r>
      <w:r w:rsidRPr="003F3C2F">
        <w:rPr>
          <w:rFonts w:ascii="Times New Roman" w:hAnsi="Times New Roman"/>
          <w:sz w:val="24"/>
          <w:szCs w:val="24"/>
        </w:rPr>
        <w:t xml:space="preserve"> in</w:t>
      </w:r>
      <w:r w:rsidR="003F5167" w:rsidRPr="003F3C2F">
        <w:rPr>
          <w:rFonts w:ascii="Times New Roman" w:hAnsi="Times New Roman"/>
          <w:sz w:val="24"/>
          <w:szCs w:val="24"/>
        </w:rPr>
        <w:t xml:space="preserve"> enabling activities, including</w:t>
      </w:r>
      <w:r w:rsidRPr="003F3C2F">
        <w:rPr>
          <w:rFonts w:ascii="Times New Roman" w:hAnsi="Times New Roman"/>
          <w:sz w:val="24"/>
          <w:szCs w:val="24"/>
        </w:rPr>
        <w:t xml:space="preserve"> </w:t>
      </w:r>
      <w:r w:rsidR="003F5167" w:rsidRPr="003F3C2F">
        <w:rPr>
          <w:rFonts w:ascii="Times New Roman" w:hAnsi="Times New Roman"/>
          <w:sz w:val="24"/>
          <w:szCs w:val="24"/>
        </w:rPr>
        <w:t xml:space="preserve">alignment of </w:t>
      </w:r>
      <w:r w:rsidRPr="003F3C2F">
        <w:rPr>
          <w:rFonts w:ascii="Times New Roman" w:hAnsi="Times New Roman"/>
          <w:sz w:val="24"/>
          <w:szCs w:val="24"/>
        </w:rPr>
        <w:t xml:space="preserve">institutional and national policies </w:t>
      </w:r>
      <w:r w:rsidR="003F5167" w:rsidRPr="003F3C2F">
        <w:rPr>
          <w:rFonts w:ascii="Times New Roman" w:hAnsi="Times New Roman"/>
          <w:sz w:val="24"/>
          <w:szCs w:val="24"/>
        </w:rPr>
        <w:t>with</w:t>
      </w:r>
      <w:r w:rsidRPr="003F3C2F">
        <w:rPr>
          <w:rFonts w:ascii="Times New Roman" w:hAnsi="Times New Roman"/>
          <w:sz w:val="24"/>
          <w:szCs w:val="24"/>
        </w:rPr>
        <w:t xml:space="preserve"> the country’s climate </w:t>
      </w:r>
      <w:r w:rsidRPr="003F3C2F">
        <w:rPr>
          <w:rFonts w:ascii="Times New Roman" w:hAnsi="Times New Roman"/>
          <w:color w:val="000000" w:themeColor="text1"/>
          <w:sz w:val="24"/>
          <w:szCs w:val="24"/>
        </w:rPr>
        <w:t>action. Key policies and laws that were revised</w:t>
      </w:r>
      <w:r w:rsidR="003F5167" w:rsidRPr="003F3C2F">
        <w:rPr>
          <w:rFonts w:ascii="Times New Roman" w:hAnsi="Times New Roman"/>
          <w:color w:val="000000" w:themeColor="text1"/>
          <w:sz w:val="24"/>
          <w:szCs w:val="24"/>
        </w:rPr>
        <w:t xml:space="preserve"> or developed</w:t>
      </w:r>
      <w:r w:rsidRPr="003F3C2F">
        <w:rPr>
          <w:rFonts w:ascii="Times New Roman" w:hAnsi="Times New Roman"/>
          <w:color w:val="000000" w:themeColor="text1"/>
          <w:sz w:val="24"/>
          <w:szCs w:val="24"/>
        </w:rPr>
        <w:t xml:space="preserve"> as a result of the implementation of Liberia’s NDC 2.0 included</w:t>
      </w:r>
      <w:r w:rsidR="003F5167" w:rsidRPr="003F3C2F">
        <w:rPr>
          <w:rFonts w:ascii="Times New Roman" w:hAnsi="Times New Roman"/>
          <w:color w:val="000000" w:themeColor="text1"/>
          <w:sz w:val="24"/>
          <w:szCs w:val="24"/>
        </w:rPr>
        <w:t>,</w:t>
      </w:r>
      <w:r w:rsidRPr="003F3C2F">
        <w:rPr>
          <w:rFonts w:ascii="Times New Roman" w:hAnsi="Times New Roman"/>
          <w:color w:val="000000" w:themeColor="text1"/>
          <w:sz w:val="24"/>
          <w:szCs w:val="24"/>
        </w:rPr>
        <w:t xml:space="preserve"> but not limited to</w:t>
      </w:r>
      <w:r w:rsidR="003F5167" w:rsidRPr="003F3C2F">
        <w:rPr>
          <w:rFonts w:ascii="Times New Roman" w:hAnsi="Times New Roman"/>
          <w:color w:val="000000" w:themeColor="text1"/>
          <w:sz w:val="24"/>
          <w:szCs w:val="24"/>
        </w:rPr>
        <w:t>,</w:t>
      </w:r>
      <w:r w:rsidRPr="003F3C2F">
        <w:rPr>
          <w:rFonts w:ascii="Times New Roman" w:hAnsi="Times New Roman"/>
          <w:color w:val="000000" w:themeColor="text1"/>
          <w:sz w:val="24"/>
          <w:szCs w:val="24"/>
        </w:rPr>
        <w:t xml:space="preserve"> the following:</w:t>
      </w:r>
    </w:p>
    <w:p w14:paraId="203897E6"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Revised draft National Forest Policy and Implementation Strategy</w:t>
      </w:r>
    </w:p>
    <w:p w14:paraId="2DA0D2C3"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Draft Restated and Amended Wildlife Conservation and Protected Area Management Law</w:t>
      </w:r>
    </w:p>
    <w:p w14:paraId="2E0C2373"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Draft National Conservation Strategy</w:t>
      </w:r>
    </w:p>
    <w:p w14:paraId="5AC90303"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ARREST Agenda for Inclusive Development (AAID)</w:t>
      </w:r>
    </w:p>
    <w:p w14:paraId="21F70178"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National Solid Waste Policy of Liberia</w:t>
      </w:r>
    </w:p>
    <w:p w14:paraId="27774DCD"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National Adaptation Plan (2020-2030)</w:t>
      </w:r>
    </w:p>
    <w:p w14:paraId="33055916"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The National Agriculture Development Plan (NADP) 2024-2030</w:t>
      </w:r>
    </w:p>
    <w:p w14:paraId="67A99142" w14:textId="77777777" w:rsidR="003F5167"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Liberia National Agroecology Strategy (LNAS) (2025)</w:t>
      </w:r>
    </w:p>
    <w:p w14:paraId="43F5DAE7" w14:textId="032CC5B6" w:rsidR="0091128A" w:rsidRPr="003F3C2F" w:rsidRDefault="0091128A" w:rsidP="00781F44">
      <w:pPr>
        <w:pStyle w:val="BodyText"/>
        <w:numPr>
          <w:ilvl w:val="0"/>
          <w:numId w:val="21"/>
        </w:numPr>
        <w:spacing w:after="0"/>
        <w:rPr>
          <w:rFonts w:ascii="Times New Roman" w:hAnsi="Times New Roman"/>
          <w:i/>
          <w:iCs/>
          <w:color w:val="000000" w:themeColor="text1"/>
          <w:sz w:val="24"/>
          <w:szCs w:val="24"/>
        </w:rPr>
      </w:pPr>
      <w:r w:rsidRPr="003F3C2F">
        <w:rPr>
          <w:rFonts w:ascii="Times New Roman" w:hAnsi="Times New Roman"/>
          <w:i/>
          <w:iCs/>
          <w:color w:val="000000" w:themeColor="text1"/>
          <w:sz w:val="24"/>
          <w:szCs w:val="24"/>
        </w:rPr>
        <w:t>Draft Revised Energy Policy of Liberia, 2024</w:t>
      </w:r>
    </w:p>
    <w:p w14:paraId="17AE5A42" w14:textId="77777777" w:rsidR="0091128A" w:rsidRPr="003F3C2F" w:rsidRDefault="0091128A" w:rsidP="009A6BAB">
      <w:pPr>
        <w:pStyle w:val="BodyText"/>
        <w:ind w:left="0"/>
        <w:rPr>
          <w:rFonts w:ascii="Times New Roman" w:hAnsi="Times New Roman"/>
        </w:rPr>
      </w:pPr>
    </w:p>
    <w:p w14:paraId="42D75B87" w14:textId="77777777" w:rsidR="0091128A" w:rsidRPr="003F3C2F" w:rsidRDefault="0091128A" w:rsidP="009A6BAB">
      <w:pPr>
        <w:pStyle w:val="BodyText"/>
        <w:ind w:left="0"/>
        <w:rPr>
          <w:rFonts w:ascii="Times New Roman" w:hAnsi="Times New Roman"/>
        </w:rPr>
      </w:pPr>
    </w:p>
    <w:p w14:paraId="3ED7B69C" w14:textId="77777777" w:rsidR="0091128A" w:rsidRPr="003F3C2F" w:rsidRDefault="0091128A" w:rsidP="009A6BAB">
      <w:pPr>
        <w:pStyle w:val="BodyText"/>
        <w:ind w:left="0"/>
        <w:rPr>
          <w:rFonts w:ascii="Times New Roman" w:hAnsi="Times New Roman"/>
        </w:rPr>
      </w:pPr>
    </w:p>
    <w:p w14:paraId="381AA85C" w14:textId="77777777" w:rsidR="0091128A" w:rsidRPr="003F3C2F" w:rsidRDefault="0091128A" w:rsidP="009A6BAB">
      <w:pPr>
        <w:pStyle w:val="BodyText"/>
        <w:ind w:left="0"/>
        <w:rPr>
          <w:rFonts w:ascii="Times New Roman" w:hAnsi="Times New Roman"/>
        </w:rPr>
      </w:pPr>
    </w:p>
    <w:p w14:paraId="7BD7B067" w14:textId="77777777" w:rsidR="0091128A" w:rsidRPr="003F3C2F" w:rsidRDefault="0091128A" w:rsidP="009A6BAB">
      <w:pPr>
        <w:pStyle w:val="BodyText"/>
        <w:ind w:left="0"/>
        <w:rPr>
          <w:rFonts w:ascii="Times New Roman" w:hAnsi="Times New Roman"/>
        </w:rPr>
      </w:pPr>
    </w:p>
    <w:p w14:paraId="76D61075" w14:textId="77777777" w:rsidR="0091128A" w:rsidRPr="003F3C2F" w:rsidRDefault="0091128A" w:rsidP="009A6BAB">
      <w:pPr>
        <w:pStyle w:val="BodyText"/>
        <w:ind w:left="0"/>
        <w:rPr>
          <w:rFonts w:ascii="Times New Roman" w:hAnsi="Times New Roman"/>
        </w:rPr>
        <w:sectPr w:rsidR="0091128A" w:rsidRPr="003F3C2F" w:rsidSect="00DC1DE2">
          <w:headerReference w:type="default" r:id="rId14"/>
          <w:footerReference w:type="default" r:id="rId15"/>
          <w:headerReference w:type="first" r:id="rId16"/>
          <w:footerReference w:type="first" r:id="rId17"/>
          <w:pgSz w:w="11906" w:h="16838" w:code="9"/>
          <w:pgMar w:top="1440" w:right="1440" w:bottom="1440" w:left="1440" w:header="706" w:footer="562" w:gutter="0"/>
          <w:cols w:space="708"/>
          <w:titlePg/>
          <w:docGrid w:linePitch="272"/>
        </w:sectPr>
      </w:pPr>
    </w:p>
    <w:p w14:paraId="2D483CF8" w14:textId="023FC962" w:rsidR="007C7CDD" w:rsidRPr="003F3C2F" w:rsidRDefault="00FE4745" w:rsidP="00012871">
      <w:pPr>
        <w:pStyle w:val="Heading2"/>
        <w:numPr>
          <w:ilvl w:val="1"/>
          <w:numId w:val="12"/>
        </w:numPr>
        <w:spacing w:before="240" w:after="240" w:line="276" w:lineRule="auto"/>
      </w:pPr>
      <w:bookmarkStart w:id="46" w:name="_Toc205444885"/>
      <w:bookmarkStart w:id="47" w:name="OLE_LINK9"/>
      <w:commentRangeStart w:id="48"/>
      <w:r w:rsidRPr="003F3C2F">
        <w:lastRenderedPageBreak/>
        <w:t>Mitigatio</w:t>
      </w:r>
      <w:bookmarkEnd w:id="46"/>
      <w:r w:rsidR="00012871" w:rsidRPr="003F3C2F">
        <w:t>n Commitment</w:t>
      </w:r>
      <w:bookmarkStart w:id="49" w:name="_Toc205444886"/>
      <w:r w:rsidRPr="003F3C2F">
        <w:t>s</w:t>
      </w:r>
      <w:bookmarkEnd w:id="49"/>
      <w:commentRangeEnd w:id="48"/>
      <w:r w:rsidR="00550AE4" w:rsidRPr="003F3C2F">
        <w:rPr>
          <w:rStyle w:val="CommentReference"/>
          <w:rFonts w:eastAsiaTheme="minorHAnsi"/>
          <w:b w:val="0"/>
          <w:i w:val="0"/>
          <w:color w:val="auto"/>
          <w:kern w:val="0"/>
          <w:lang w:val="en-US" w:eastAsia="en-US"/>
        </w:rPr>
        <w:commentReference w:id="48"/>
      </w:r>
    </w:p>
    <w:p w14:paraId="5FFD8347" w14:textId="7235ADB1" w:rsidR="00117112" w:rsidRPr="003F3C2F" w:rsidRDefault="007C7CDD" w:rsidP="00F719AB">
      <w:pPr>
        <w:pStyle w:val="BodyText"/>
        <w:spacing w:after="0"/>
        <w:ind w:left="0"/>
        <w:rPr>
          <w:rFonts w:ascii="Times New Roman" w:hAnsi="Times New Roman"/>
          <w:sz w:val="24"/>
          <w:szCs w:val="24"/>
        </w:rPr>
      </w:pPr>
      <w:r w:rsidRPr="003F3C2F">
        <w:rPr>
          <w:rFonts w:ascii="Times New Roman" w:hAnsi="Times New Roman"/>
          <w:sz w:val="24"/>
          <w:szCs w:val="24"/>
        </w:rPr>
        <w:t>Liberia is committed to reducing its GHG emissions across all the IPCC sectors namely energy</w:t>
      </w:r>
      <w:r w:rsidR="00F719AB" w:rsidRPr="003F3C2F">
        <w:rPr>
          <w:rFonts w:ascii="Times New Roman" w:hAnsi="Times New Roman"/>
          <w:sz w:val="24"/>
          <w:szCs w:val="24"/>
        </w:rPr>
        <w:t xml:space="preserve">, </w:t>
      </w:r>
      <w:r w:rsidRPr="003F3C2F">
        <w:rPr>
          <w:rFonts w:ascii="Times New Roman" w:hAnsi="Times New Roman"/>
          <w:sz w:val="24"/>
          <w:szCs w:val="24"/>
        </w:rPr>
        <w:t xml:space="preserve">transport, </w:t>
      </w:r>
      <w:r w:rsidR="00550AE4" w:rsidRPr="003F3C2F">
        <w:rPr>
          <w:rFonts w:ascii="Times New Roman" w:hAnsi="Times New Roman"/>
          <w:sz w:val="24"/>
          <w:szCs w:val="24"/>
        </w:rPr>
        <w:t>Industrial Processes and Product Use (I</w:t>
      </w:r>
      <w:r w:rsidRPr="003F3C2F">
        <w:rPr>
          <w:rFonts w:ascii="Times New Roman" w:hAnsi="Times New Roman"/>
          <w:sz w:val="24"/>
          <w:szCs w:val="24"/>
        </w:rPr>
        <w:t>PPU</w:t>
      </w:r>
      <w:r w:rsidR="00550AE4" w:rsidRPr="003F3C2F">
        <w:rPr>
          <w:rFonts w:ascii="Times New Roman" w:hAnsi="Times New Roman"/>
          <w:sz w:val="24"/>
          <w:szCs w:val="24"/>
        </w:rPr>
        <w:t>)</w:t>
      </w:r>
      <w:r w:rsidRPr="003F3C2F">
        <w:rPr>
          <w:rFonts w:ascii="Times New Roman" w:hAnsi="Times New Roman"/>
          <w:sz w:val="24"/>
          <w:szCs w:val="24"/>
        </w:rPr>
        <w:t xml:space="preserve">, Agriculture, </w:t>
      </w:r>
      <w:r w:rsidR="00550AE4" w:rsidRPr="003F3C2F">
        <w:rPr>
          <w:rFonts w:ascii="Times New Roman" w:hAnsi="Times New Roman"/>
          <w:sz w:val="24"/>
          <w:szCs w:val="24"/>
        </w:rPr>
        <w:t>Land Use, Land-Use Change, and Forestry (</w:t>
      </w:r>
      <w:r w:rsidRPr="003F3C2F">
        <w:rPr>
          <w:rFonts w:ascii="Times New Roman" w:hAnsi="Times New Roman"/>
          <w:sz w:val="24"/>
          <w:szCs w:val="24"/>
        </w:rPr>
        <w:t>LULUCF</w:t>
      </w:r>
      <w:r w:rsidR="00550AE4" w:rsidRPr="003F3C2F">
        <w:rPr>
          <w:rFonts w:ascii="Times New Roman" w:hAnsi="Times New Roman"/>
          <w:sz w:val="24"/>
          <w:szCs w:val="24"/>
        </w:rPr>
        <w:t>)</w:t>
      </w:r>
      <w:r w:rsidRPr="003F3C2F">
        <w:rPr>
          <w:rFonts w:ascii="Times New Roman" w:hAnsi="Times New Roman"/>
          <w:sz w:val="24"/>
          <w:szCs w:val="24"/>
        </w:rPr>
        <w:t xml:space="preserve">, and Waste. </w:t>
      </w:r>
      <w:r w:rsidR="00117112" w:rsidRPr="003F3C2F">
        <w:rPr>
          <w:rFonts w:ascii="Times New Roman" w:hAnsi="Times New Roman"/>
          <w:sz w:val="24"/>
          <w:szCs w:val="24"/>
        </w:rPr>
        <w:t>In this regard, emissions and non-emissions targets have been identified at economy as well as sector level as defined in the subsequent sections.</w:t>
      </w:r>
    </w:p>
    <w:p w14:paraId="775BD4A4" w14:textId="77777777" w:rsidR="00F719AB" w:rsidRPr="003F3C2F" w:rsidRDefault="00F719AB" w:rsidP="00F719AB">
      <w:pPr>
        <w:pStyle w:val="BodyText"/>
        <w:spacing w:after="0"/>
        <w:ind w:left="0"/>
        <w:rPr>
          <w:rFonts w:ascii="Times New Roman" w:hAnsi="Times New Roman"/>
          <w:sz w:val="24"/>
          <w:szCs w:val="24"/>
        </w:rPr>
      </w:pPr>
    </w:p>
    <w:tbl>
      <w:tblPr>
        <w:tblStyle w:val="TableGrid"/>
        <w:tblW w:w="0" w:type="auto"/>
        <w:tblLook w:val="04A0" w:firstRow="1" w:lastRow="0" w:firstColumn="1" w:lastColumn="0" w:noHBand="0" w:noVBand="1"/>
      </w:tblPr>
      <w:tblGrid>
        <w:gridCol w:w="9016"/>
      </w:tblGrid>
      <w:tr w:rsidR="00F719AB" w:rsidRPr="003F3C2F" w14:paraId="42237EBE" w14:textId="77777777" w:rsidTr="00F719AB">
        <w:tc>
          <w:tcPr>
            <w:tcW w:w="9016" w:type="dxa"/>
            <w:shd w:val="clear" w:color="auto" w:fill="126767"/>
          </w:tcPr>
          <w:p w14:paraId="5DEF5883" w14:textId="63D33001" w:rsidR="00F719AB" w:rsidRPr="003F3C2F" w:rsidRDefault="00F719AB" w:rsidP="00F719AB">
            <w:pPr>
              <w:pStyle w:val="BodyText"/>
              <w:spacing w:after="0"/>
              <w:ind w:left="0"/>
              <w:jc w:val="center"/>
              <w:rPr>
                <w:rFonts w:ascii="Times New Roman" w:hAnsi="Times New Roman"/>
                <w:b/>
                <w:bCs/>
                <w:sz w:val="22"/>
                <w:szCs w:val="22"/>
              </w:rPr>
            </w:pPr>
            <w:r w:rsidRPr="003F3C2F">
              <w:rPr>
                <w:rFonts w:ascii="Times New Roman" w:hAnsi="Times New Roman"/>
                <w:b/>
                <w:bCs/>
                <w:color w:val="FFFFFF" w:themeColor="background1"/>
                <w:sz w:val="22"/>
                <w:szCs w:val="22"/>
              </w:rPr>
              <w:t>Energy</w:t>
            </w:r>
          </w:p>
        </w:tc>
      </w:tr>
      <w:tr w:rsidR="00F719AB" w:rsidRPr="003F3C2F" w14:paraId="407CD9BB" w14:textId="77777777" w:rsidTr="00F719AB">
        <w:tc>
          <w:tcPr>
            <w:tcW w:w="9016" w:type="dxa"/>
            <w:shd w:val="clear" w:color="auto" w:fill="DBE5F1" w:themeFill="accent1" w:themeFillTint="33"/>
          </w:tcPr>
          <w:p w14:paraId="66C2211A" w14:textId="6BDC719C" w:rsidR="00F719AB" w:rsidRPr="003F3C2F" w:rsidRDefault="00F719AB" w:rsidP="00F719AB">
            <w:pPr>
              <w:pStyle w:val="BodyText"/>
              <w:spacing w:after="0"/>
              <w:ind w:left="0"/>
              <w:jc w:val="center"/>
              <w:rPr>
                <w:rFonts w:ascii="Times New Roman" w:hAnsi="Times New Roman"/>
                <w:b/>
                <w:bCs/>
                <w:sz w:val="22"/>
                <w:szCs w:val="22"/>
              </w:rPr>
            </w:pPr>
            <w:r w:rsidRPr="003F3C2F">
              <w:rPr>
                <w:rFonts w:ascii="Times New Roman" w:hAnsi="Times New Roman"/>
                <w:b/>
                <w:bCs/>
                <w:sz w:val="22"/>
                <w:szCs w:val="22"/>
              </w:rPr>
              <w:t>Mitigation Targets</w:t>
            </w:r>
          </w:p>
        </w:tc>
      </w:tr>
      <w:tr w:rsidR="00F719AB" w:rsidRPr="003F3C2F" w14:paraId="4055D639" w14:textId="77777777" w:rsidTr="00F719AB">
        <w:tc>
          <w:tcPr>
            <w:tcW w:w="9016" w:type="dxa"/>
          </w:tcPr>
          <w:p w14:paraId="465DDF75" w14:textId="77777777" w:rsidR="00F719AB" w:rsidRPr="003F3C2F" w:rsidRDefault="00F719AB" w:rsidP="00F719AB">
            <w:pPr>
              <w:pStyle w:val="BodyText"/>
              <w:spacing w:after="0"/>
              <w:ind w:left="0"/>
              <w:rPr>
                <w:rFonts w:ascii="Times New Roman" w:hAnsi="Times New Roman"/>
                <w:sz w:val="22"/>
                <w:szCs w:val="22"/>
              </w:rPr>
            </w:pPr>
            <w:r w:rsidRPr="003F3C2F">
              <w:rPr>
                <w:rFonts w:ascii="Times New Roman" w:hAnsi="Times New Roman"/>
                <w:sz w:val="22"/>
                <w:szCs w:val="22"/>
              </w:rPr>
              <w:t xml:space="preserve">Liberia commits to reduce GHG emissions from energy sector (excluding transport sector) by </w:t>
            </w:r>
            <w:r w:rsidRPr="003F3C2F">
              <w:rPr>
                <w:rFonts w:ascii="Times New Roman" w:hAnsi="Times New Roman"/>
                <w:sz w:val="22"/>
                <w:szCs w:val="22"/>
                <w:highlight w:val="yellow"/>
              </w:rPr>
              <w:t>40.6% below BAU levels by 2030</w:t>
            </w:r>
            <w:r w:rsidRPr="003F3C2F">
              <w:rPr>
                <w:rFonts w:ascii="Times New Roman" w:hAnsi="Times New Roman"/>
                <w:sz w:val="22"/>
                <w:szCs w:val="22"/>
              </w:rPr>
              <w:t>. Sectoral targets include:</w:t>
            </w:r>
          </w:p>
          <w:p w14:paraId="2C5FFAD2" w14:textId="77777777"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Installation of 100 MW Renewable Energy (RE) plants producing 300GWh per year with a load factor of 40%.</w:t>
            </w:r>
          </w:p>
          <w:p w14:paraId="79260A46" w14:textId="77777777"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Reconnection of Monrovia clients to the grid by which 100% of the of the owners of individual generators will switch to the distribution network.</w:t>
            </w:r>
          </w:p>
          <w:p w14:paraId="43652447" w14:textId="77777777"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 xml:space="preserve">Development of off-grid small hydropower plants (HPP) and on-grid ones via PPAs </w:t>
            </w:r>
          </w:p>
          <w:p w14:paraId="1A2D9395" w14:textId="77777777"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Installation of grid-connected medium HPP with 20 MW capacity with potential to generate an output of 40 GWh/year with 50% base load minimum for rural electrification.</w:t>
            </w:r>
          </w:p>
          <w:p w14:paraId="61838229" w14:textId="55E8A476"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 xml:space="preserve">Development of </w:t>
            </w:r>
            <w:r w:rsidR="00853252" w:rsidRPr="003F3C2F">
              <w:rPr>
                <w:rFonts w:ascii="Times New Roman" w:hAnsi="Times New Roman"/>
                <w:sz w:val="22"/>
                <w:szCs w:val="22"/>
              </w:rPr>
              <w:t>20</w:t>
            </w:r>
            <w:r w:rsidRPr="003F3C2F">
              <w:rPr>
                <w:rFonts w:ascii="Times New Roman" w:hAnsi="Times New Roman"/>
                <w:sz w:val="22"/>
                <w:szCs w:val="22"/>
              </w:rPr>
              <w:t xml:space="preserve"> MW </w:t>
            </w:r>
            <w:r w:rsidR="00853252" w:rsidRPr="003F3C2F">
              <w:rPr>
                <w:rFonts w:ascii="Times New Roman" w:hAnsi="Times New Roman"/>
                <w:sz w:val="22"/>
                <w:szCs w:val="22"/>
              </w:rPr>
              <w:t>c</w:t>
            </w:r>
            <w:r w:rsidRPr="003F3C2F">
              <w:rPr>
                <w:rFonts w:ascii="Times New Roman" w:hAnsi="Times New Roman"/>
                <w:sz w:val="22"/>
                <w:szCs w:val="22"/>
              </w:rPr>
              <w:t xml:space="preserve">apacity of solar photovoltaic (PV) power with an output of 2 GWh/year. </w:t>
            </w:r>
          </w:p>
          <w:p w14:paraId="0D25403B" w14:textId="77777777" w:rsidR="00F719AB" w:rsidRPr="003F3C2F" w:rsidRDefault="00F719AB" w:rsidP="00781F44">
            <w:pPr>
              <w:pStyle w:val="BodyText"/>
              <w:numPr>
                <w:ilvl w:val="0"/>
                <w:numId w:val="24"/>
              </w:numPr>
              <w:rPr>
                <w:rFonts w:ascii="Times New Roman" w:hAnsi="Times New Roman"/>
                <w:sz w:val="22"/>
                <w:szCs w:val="22"/>
              </w:rPr>
            </w:pPr>
            <w:r w:rsidRPr="003F3C2F">
              <w:rPr>
                <w:rFonts w:ascii="Times New Roman" w:hAnsi="Times New Roman"/>
                <w:sz w:val="22"/>
                <w:szCs w:val="22"/>
              </w:rPr>
              <w:t xml:space="preserve">Reduce total electricity loss </w:t>
            </w:r>
            <w:r w:rsidRPr="003F3C2F">
              <w:rPr>
                <w:rFonts w:ascii="Times New Roman" w:hAnsi="Times New Roman"/>
                <w:sz w:val="22"/>
                <w:szCs w:val="22"/>
                <w:highlight w:val="yellow"/>
              </w:rPr>
              <w:t>to 10% by 2027</w:t>
            </w:r>
            <w:r w:rsidRPr="003F3C2F">
              <w:rPr>
                <w:rFonts w:ascii="Times New Roman" w:hAnsi="Times New Roman"/>
                <w:sz w:val="22"/>
                <w:szCs w:val="22"/>
              </w:rPr>
              <w:t xml:space="preserve"> through the improvement of the distribution network (technical losses) and the implementation of a social tariff (non-technical losses).</w:t>
            </w:r>
          </w:p>
          <w:p w14:paraId="10B9BB5F" w14:textId="53BE511C" w:rsidR="00F719AB" w:rsidRPr="003F3C2F" w:rsidRDefault="00F719AB" w:rsidP="00781F44">
            <w:pPr>
              <w:pStyle w:val="BodyText"/>
              <w:numPr>
                <w:ilvl w:val="0"/>
                <w:numId w:val="24"/>
              </w:numPr>
              <w:spacing w:after="0"/>
              <w:rPr>
                <w:rFonts w:ascii="Times New Roman" w:hAnsi="Times New Roman"/>
                <w:sz w:val="22"/>
                <w:szCs w:val="22"/>
              </w:rPr>
            </w:pPr>
            <w:r w:rsidRPr="003F3C2F">
              <w:rPr>
                <w:rFonts w:ascii="Times New Roman" w:hAnsi="Times New Roman"/>
                <w:sz w:val="22"/>
                <w:szCs w:val="22"/>
              </w:rPr>
              <w:t xml:space="preserve">Produce and distribute energy saving cook stoves to 60% of households using fuel wood or charcoal (Link to Forest sector). </w:t>
            </w:r>
          </w:p>
        </w:tc>
      </w:tr>
      <w:tr w:rsidR="00F719AB" w:rsidRPr="003F3C2F" w14:paraId="28760550" w14:textId="77777777" w:rsidTr="00F719AB">
        <w:tc>
          <w:tcPr>
            <w:tcW w:w="9016" w:type="dxa"/>
            <w:shd w:val="clear" w:color="auto" w:fill="DBE5F1" w:themeFill="accent1" w:themeFillTint="33"/>
          </w:tcPr>
          <w:p w14:paraId="380810B7" w14:textId="369F7C24" w:rsidR="00F719AB" w:rsidRPr="003F3C2F" w:rsidRDefault="00F719AB" w:rsidP="00F719AB">
            <w:pPr>
              <w:pStyle w:val="BodyText"/>
              <w:spacing w:after="0"/>
              <w:ind w:left="0"/>
              <w:jc w:val="center"/>
              <w:rPr>
                <w:rFonts w:ascii="Times New Roman" w:hAnsi="Times New Roman"/>
                <w:sz w:val="22"/>
                <w:szCs w:val="22"/>
              </w:rPr>
            </w:pPr>
            <w:r w:rsidRPr="003F3C2F">
              <w:rPr>
                <w:rFonts w:ascii="Times New Roman" w:eastAsia="Calibri" w:hAnsi="Times New Roman"/>
                <w:b/>
                <w:sz w:val="22"/>
                <w:szCs w:val="22"/>
                <w:lang w:val="en-US" w:eastAsia="en-US"/>
              </w:rPr>
              <w:t>Mitigation Actions and Policy Measures</w:t>
            </w:r>
          </w:p>
        </w:tc>
      </w:tr>
      <w:tr w:rsidR="00F719AB" w:rsidRPr="003F3C2F" w14:paraId="41C4B814" w14:textId="77777777" w:rsidTr="00F719AB">
        <w:tc>
          <w:tcPr>
            <w:tcW w:w="9016" w:type="dxa"/>
          </w:tcPr>
          <w:p w14:paraId="2A2D17FF" w14:textId="2D66330C" w:rsidR="00F719AB" w:rsidRPr="003F3C2F" w:rsidRDefault="003911A1" w:rsidP="00117112">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w:t>
            </w:r>
            <w:r w:rsidR="00853252" w:rsidRPr="003F3C2F">
              <w:rPr>
                <w:rFonts w:ascii="Times New Roman" w:hAnsi="Times New Roman"/>
                <w:sz w:val="22"/>
                <w:szCs w:val="22"/>
              </w:rPr>
              <w:t>l</w:t>
            </w:r>
            <w:r w:rsidRPr="003F3C2F">
              <w:rPr>
                <w:rFonts w:ascii="Times New Roman" w:hAnsi="Times New Roman"/>
                <w:sz w:val="22"/>
                <w:szCs w:val="22"/>
              </w:rPr>
              <w:t xml:space="preserve"> be taken to meet the targets:</w:t>
            </w:r>
          </w:p>
          <w:p w14:paraId="4443CE22" w14:textId="3EB4ABB8" w:rsidR="003911A1" w:rsidRPr="003F3C2F" w:rsidRDefault="003911A1" w:rsidP="00781F44">
            <w:pPr>
              <w:pStyle w:val="BodyText"/>
              <w:numPr>
                <w:ilvl w:val="0"/>
                <w:numId w:val="25"/>
              </w:numPr>
              <w:spacing w:after="0"/>
              <w:rPr>
                <w:rFonts w:ascii="Times New Roman" w:hAnsi="Times New Roman"/>
                <w:sz w:val="22"/>
                <w:szCs w:val="22"/>
              </w:rPr>
            </w:pPr>
            <w:r w:rsidRPr="003F3C2F">
              <w:rPr>
                <w:rFonts w:ascii="Times New Roman" w:hAnsi="Times New Roman"/>
                <w:sz w:val="22"/>
                <w:szCs w:val="22"/>
              </w:rPr>
              <w:t>Revised the National Energy Policy with focus on renewal energy sources including mini-</w:t>
            </w:r>
            <w:r w:rsidR="00E90087" w:rsidRPr="003F3C2F">
              <w:rPr>
                <w:rFonts w:ascii="Times New Roman" w:hAnsi="Times New Roman"/>
                <w:sz w:val="22"/>
                <w:szCs w:val="22"/>
              </w:rPr>
              <w:t>hydro dams</w:t>
            </w:r>
            <w:r w:rsidRPr="003F3C2F">
              <w:rPr>
                <w:rFonts w:ascii="Times New Roman" w:hAnsi="Times New Roman"/>
                <w:sz w:val="22"/>
                <w:szCs w:val="22"/>
              </w:rPr>
              <w:t>, solar and wind</w:t>
            </w:r>
            <w:r w:rsidR="00E90087" w:rsidRPr="003F3C2F">
              <w:rPr>
                <w:rFonts w:ascii="Times New Roman" w:hAnsi="Times New Roman"/>
                <w:sz w:val="22"/>
                <w:szCs w:val="22"/>
              </w:rPr>
              <w:t>.</w:t>
            </w:r>
          </w:p>
          <w:p w14:paraId="191D4106" w14:textId="54DECBD1" w:rsidR="003911A1" w:rsidRPr="003F3C2F" w:rsidRDefault="003911A1" w:rsidP="00781F44">
            <w:pPr>
              <w:pStyle w:val="ListParagraph"/>
              <w:numPr>
                <w:ilvl w:val="0"/>
                <w:numId w:val="25"/>
              </w:numPr>
              <w:tabs>
                <w:tab w:val="left" w:pos="840"/>
              </w:tabs>
              <w:ind w:right="720"/>
              <w:jc w:val="both"/>
              <w:rPr>
                <w:rFonts w:ascii="Times New Roman" w:eastAsia="Courier New" w:hAnsi="Times New Roman" w:cs="Times New Roman"/>
              </w:rPr>
            </w:pPr>
            <w:r w:rsidRPr="003F3C2F">
              <w:rPr>
                <w:rFonts w:ascii="Times New Roman" w:hAnsi="Times New Roman" w:cs="Times New Roman"/>
              </w:rPr>
              <w:t>Calculate real costs and tariffs in the 3 segments to be unbundled: generation, transmission distribution by 2027</w:t>
            </w:r>
            <w:r w:rsidR="00E90087" w:rsidRPr="003F3C2F">
              <w:rPr>
                <w:rFonts w:ascii="Times New Roman" w:hAnsi="Times New Roman" w:cs="Times New Roman"/>
              </w:rPr>
              <w:t>.</w:t>
            </w:r>
          </w:p>
          <w:p w14:paraId="4E9EB3D3" w14:textId="3E3C361F" w:rsidR="00853252" w:rsidRPr="003F3C2F" w:rsidRDefault="00853252" w:rsidP="00781F44">
            <w:pPr>
              <w:pStyle w:val="ListParagraph"/>
              <w:numPr>
                <w:ilvl w:val="0"/>
                <w:numId w:val="25"/>
              </w:numPr>
              <w:tabs>
                <w:tab w:val="left" w:pos="840"/>
              </w:tabs>
              <w:ind w:right="720"/>
              <w:jc w:val="both"/>
              <w:rPr>
                <w:rFonts w:ascii="Times New Roman" w:eastAsia="Courier New" w:hAnsi="Times New Roman" w:cs="Times New Roman"/>
              </w:rPr>
            </w:pPr>
            <w:r w:rsidRPr="003F3C2F">
              <w:rPr>
                <w:rFonts w:ascii="Times New Roman" w:hAnsi="Times New Roman" w:cs="Times New Roman"/>
              </w:rPr>
              <w:t>Use the new private investment enabling environment to write a roadmap to achieve a renewable energy generation to at least 30% after 2030.</w:t>
            </w:r>
          </w:p>
          <w:p w14:paraId="43506DE0" w14:textId="61ABD8D4" w:rsidR="003911A1" w:rsidRPr="003F3C2F" w:rsidRDefault="003911A1" w:rsidP="00781F44">
            <w:pPr>
              <w:pStyle w:val="ListParagraph"/>
              <w:numPr>
                <w:ilvl w:val="0"/>
                <w:numId w:val="25"/>
              </w:numPr>
              <w:tabs>
                <w:tab w:val="left" w:pos="840"/>
              </w:tabs>
              <w:ind w:right="720"/>
              <w:jc w:val="both"/>
              <w:rPr>
                <w:rFonts w:ascii="Times New Roman" w:eastAsia="Courier New" w:hAnsi="Times New Roman" w:cs="Times New Roman"/>
              </w:rPr>
            </w:pPr>
            <w:r w:rsidRPr="003F3C2F">
              <w:rPr>
                <w:rFonts w:ascii="Times New Roman" w:hAnsi="Times New Roman" w:cs="Times New Roman"/>
              </w:rPr>
              <w:t>Investigate social subsidies to support the introduction of social tariffs to be implemented by 2027</w:t>
            </w:r>
            <w:r w:rsidR="00E90087" w:rsidRPr="003F3C2F">
              <w:rPr>
                <w:rFonts w:ascii="Times New Roman" w:hAnsi="Times New Roman" w:cs="Times New Roman"/>
              </w:rPr>
              <w:t>.</w:t>
            </w:r>
          </w:p>
          <w:p w14:paraId="56C8CF59" w14:textId="77777777" w:rsidR="00853252" w:rsidRPr="003F3C2F" w:rsidRDefault="003911A1" w:rsidP="00781F44">
            <w:pPr>
              <w:pStyle w:val="ListParagraph"/>
              <w:numPr>
                <w:ilvl w:val="0"/>
                <w:numId w:val="25"/>
              </w:numPr>
              <w:tabs>
                <w:tab w:val="left" w:pos="840"/>
              </w:tabs>
              <w:ind w:right="720"/>
              <w:jc w:val="both"/>
              <w:rPr>
                <w:rFonts w:ascii="Times New Roman" w:eastAsia="Courier New" w:hAnsi="Times New Roman" w:cs="Times New Roman"/>
              </w:rPr>
            </w:pPr>
            <w:r w:rsidRPr="003F3C2F">
              <w:rPr>
                <w:rFonts w:ascii="Times New Roman" w:hAnsi="Times New Roman" w:cs="Times New Roman"/>
              </w:rPr>
              <w:t>Reduce total electricity loss to 10% by 2027 through the improvement of the distribution network (technical losses) and the implementation of a social tariff (non-technical losses).</w:t>
            </w:r>
          </w:p>
          <w:p w14:paraId="52B696D1" w14:textId="675F86F2" w:rsidR="003911A1" w:rsidRPr="003F3C2F" w:rsidRDefault="003911A1" w:rsidP="00781F44">
            <w:pPr>
              <w:pStyle w:val="ListParagraph"/>
              <w:numPr>
                <w:ilvl w:val="0"/>
                <w:numId w:val="25"/>
              </w:numPr>
              <w:tabs>
                <w:tab w:val="left" w:pos="840"/>
              </w:tabs>
              <w:ind w:right="720"/>
              <w:jc w:val="both"/>
              <w:rPr>
                <w:rFonts w:ascii="Times New Roman" w:eastAsia="Courier New" w:hAnsi="Times New Roman" w:cs="Times New Roman"/>
              </w:rPr>
            </w:pPr>
            <w:r w:rsidRPr="003F3C2F">
              <w:rPr>
                <w:rFonts w:ascii="Times New Roman" w:hAnsi="Times New Roman" w:cs="Times New Roman"/>
              </w:rPr>
              <w:t xml:space="preserve">Subsidize energy saving cookstoves by support the production and distribution </w:t>
            </w:r>
            <w:r w:rsidR="00853252" w:rsidRPr="003F3C2F">
              <w:rPr>
                <w:rFonts w:ascii="Times New Roman" w:hAnsi="Times New Roman" w:cs="Times New Roman"/>
              </w:rPr>
              <w:t xml:space="preserve">especially in rural communities and </w:t>
            </w:r>
            <w:r w:rsidRPr="003F3C2F">
              <w:rPr>
                <w:rFonts w:ascii="Times New Roman" w:hAnsi="Times New Roman" w:cs="Times New Roman"/>
              </w:rPr>
              <w:t>implement a campaign to increase awareness to promote the use of energy efficient cook stoves</w:t>
            </w:r>
            <w:r w:rsidR="00853252" w:rsidRPr="003F3C2F">
              <w:rPr>
                <w:rFonts w:ascii="Times New Roman" w:hAnsi="Times New Roman" w:cs="Times New Roman"/>
              </w:rPr>
              <w:t>;</w:t>
            </w:r>
          </w:p>
        </w:tc>
      </w:tr>
      <w:tr w:rsidR="00F719AB" w:rsidRPr="003F3C2F" w14:paraId="6E588CE1" w14:textId="77777777" w:rsidTr="00F719AB">
        <w:tc>
          <w:tcPr>
            <w:tcW w:w="9016" w:type="dxa"/>
            <w:shd w:val="clear" w:color="auto" w:fill="126767"/>
          </w:tcPr>
          <w:p w14:paraId="32D69D2D" w14:textId="3293073E" w:rsidR="00F719AB" w:rsidRPr="003F3C2F" w:rsidRDefault="00F719AB" w:rsidP="00F719AB">
            <w:pPr>
              <w:pStyle w:val="BodyText"/>
              <w:spacing w:after="0"/>
              <w:ind w:left="0"/>
              <w:jc w:val="center"/>
              <w:rPr>
                <w:rFonts w:ascii="Times New Roman" w:hAnsi="Times New Roman"/>
                <w:b/>
                <w:bCs/>
                <w:color w:val="FFFFFF" w:themeColor="background1"/>
                <w:sz w:val="22"/>
                <w:szCs w:val="22"/>
              </w:rPr>
            </w:pPr>
            <w:r w:rsidRPr="003F3C2F">
              <w:rPr>
                <w:rFonts w:ascii="Times New Roman" w:hAnsi="Times New Roman"/>
                <w:b/>
                <w:bCs/>
                <w:color w:val="FFFFFF" w:themeColor="background1"/>
                <w:sz w:val="22"/>
                <w:szCs w:val="22"/>
              </w:rPr>
              <w:t>Transport</w:t>
            </w:r>
          </w:p>
        </w:tc>
      </w:tr>
      <w:tr w:rsidR="00F719AB" w:rsidRPr="003F3C2F" w14:paraId="29797B16" w14:textId="77777777" w:rsidTr="00F719AB">
        <w:tc>
          <w:tcPr>
            <w:tcW w:w="9016" w:type="dxa"/>
            <w:shd w:val="clear" w:color="auto" w:fill="DBE5F1" w:themeFill="accent1" w:themeFillTint="33"/>
          </w:tcPr>
          <w:p w14:paraId="2CCC021A" w14:textId="44FB9542" w:rsidR="00F719AB" w:rsidRPr="003F3C2F" w:rsidRDefault="00F719AB" w:rsidP="00F719AB">
            <w:pPr>
              <w:pStyle w:val="BodyText"/>
              <w:spacing w:after="0"/>
              <w:ind w:left="0"/>
              <w:jc w:val="center"/>
              <w:rPr>
                <w:rFonts w:ascii="Times New Roman" w:hAnsi="Times New Roman"/>
                <w:b/>
                <w:bCs/>
                <w:sz w:val="22"/>
                <w:szCs w:val="22"/>
              </w:rPr>
            </w:pPr>
            <w:r w:rsidRPr="003F3C2F">
              <w:rPr>
                <w:rFonts w:ascii="Times New Roman" w:hAnsi="Times New Roman"/>
                <w:b/>
                <w:bCs/>
                <w:sz w:val="22"/>
                <w:szCs w:val="22"/>
              </w:rPr>
              <w:t>Mitigation</w:t>
            </w:r>
            <w:r w:rsidR="0049391C" w:rsidRPr="003F3C2F">
              <w:rPr>
                <w:rFonts w:ascii="Times New Roman" w:hAnsi="Times New Roman"/>
                <w:b/>
                <w:bCs/>
                <w:sz w:val="22"/>
                <w:szCs w:val="22"/>
              </w:rPr>
              <w:t xml:space="preserve"> Targets</w:t>
            </w:r>
          </w:p>
        </w:tc>
      </w:tr>
      <w:tr w:rsidR="00F719AB" w:rsidRPr="003F3C2F" w14:paraId="5EB17344" w14:textId="77777777" w:rsidTr="00F719AB">
        <w:tc>
          <w:tcPr>
            <w:tcW w:w="9016" w:type="dxa"/>
          </w:tcPr>
          <w:p w14:paraId="0C7EA88F" w14:textId="2D6E8324" w:rsidR="00F719AB" w:rsidRPr="003F3C2F" w:rsidRDefault="00F719AB" w:rsidP="00F719AB">
            <w:pPr>
              <w:pStyle w:val="BodyText"/>
              <w:spacing w:after="0"/>
              <w:ind w:left="0"/>
              <w:rPr>
                <w:rFonts w:ascii="Times New Roman" w:hAnsi="Times New Roman"/>
                <w:sz w:val="22"/>
                <w:szCs w:val="22"/>
              </w:rPr>
            </w:pPr>
            <w:r w:rsidRPr="003F3C2F">
              <w:rPr>
                <w:rFonts w:ascii="Times New Roman" w:hAnsi="Times New Roman"/>
                <w:sz w:val="22"/>
                <w:szCs w:val="22"/>
              </w:rPr>
              <w:lastRenderedPageBreak/>
              <w:t>In the Transport sector, Liberia commits to</w:t>
            </w:r>
            <w:r w:rsidR="00853252" w:rsidRPr="003F3C2F">
              <w:rPr>
                <w:rFonts w:ascii="Times New Roman" w:hAnsi="Times New Roman"/>
                <w:sz w:val="22"/>
                <w:szCs w:val="22"/>
              </w:rPr>
              <w:t xml:space="preserve"> </w:t>
            </w:r>
            <w:r w:rsidRPr="003F3C2F">
              <w:rPr>
                <w:rFonts w:ascii="Times New Roman" w:hAnsi="Times New Roman"/>
                <w:sz w:val="22"/>
                <w:szCs w:val="22"/>
              </w:rPr>
              <w:t xml:space="preserve">reducing GHG emissions by </w:t>
            </w:r>
            <w:r w:rsidRPr="003F3C2F">
              <w:rPr>
                <w:rFonts w:ascii="Times New Roman" w:hAnsi="Times New Roman"/>
                <w:sz w:val="22"/>
                <w:szCs w:val="22"/>
                <w:highlight w:val="yellow"/>
              </w:rPr>
              <w:t>15.1% below BAU levels by 2030</w:t>
            </w:r>
            <w:r w:rsidRPr="003F3C2F">
              <w:rPr>
                <w:rFonts w:ascii="Times New Roman" w:hAnsi="Times New Roman"/>
                <w:sz w:val="22"/>
                <w:szCs w:val="22"/>
              </w:rPr>
              <w:t>. Sectoral targets include:</w:t>
            </w:r>
          </w:p>
          <w:p w14:paraId="1746B6FA" w14:textId="6F47C3BA" w:rsidR="00F719AB" w:rsidRPr="003F3C2F" w:rsidRDefault="003911A1"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 xml:space="preserve">By 2027, introduce at least 3,000 </w:t>
            </w:r>
            <w:r w:rsidR="00F719AB" w:rsidRPr="003F3C2F">
              <w:rPr>
                <w:rFonts w:ascii="Times New Roman" w:hAnsi="Times New Roman"/>
                <w:sz w:val="22"/>
                <w:szCs w:val="22"/>
              </w:rPr>
              <w:t>electric kekehs</w:t>
            </w:r>
            <w:r w:rsidRPr="003F3C2F">
              <w:rPr>
                <w:rFonts w:ascii="Times New Roman" w:hAnsi="Times New Roman"/>
                <w:sz w:val="22"/>
                <w:szCs w:val="22"/>
              </w:rPr>
              <w:t xml:space="preserve"> (tricycles) for commercial use with the </w:t>
            </w:r>
            <w:r w:rsidR="00853252" w:rsidRPr="003F3C2F">
              <w:rPr>
                <w:rFonts w:ascii="Times New Roman" w:hAnsi="Times New Roman"/>
                <w:sz w:val="22"/>
                <w:szCs w:val="22"/>
              </w:rPr>
              <w:t>ultimate</w:t>
            </w:r>
            <w:r w:rsidRPr="003F3C2F">
              <w:rPr>
                <w:rFonts w:ascii="Times New Roman" w:hAnsi="Times New Roman"/>
                <w:sz w:val="22"/>
                <w:szCs w:val="22"/>
              </w:rPr>
              <w:t xml:space="preserve"> goal to increase the fleet to more than 6,000 by 2030</w:t>
            </w:r>
            <w:r w:rsidR="00E90087" w:rsidRPr="003F3C2F">
              <w:rPr>
                <w:rFonts w:ascii="Times New Roman" w:hAnsi="Times New Roman"/>
                <w:sz w:val="22"/>
                <w:szCs w:val="22"/>
              </w:rPr>
              <w:t>.</w:t>
            </w:r>
          </w:p>
          <w:p w14:paraId="1D67196A" w14:textId="6A19A042" w:rsidR="00F719AB" w:rsidRPr="003F3C2F" w:rsidRDefault="00F719AB"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Transformation of National Transit Authority (NTA) buses and private vehicles (cars and taxis) to Compressed Natural Gas (CNG)</w:t>
            </w:r>
            <w:r w:rsidR="00E90087" w:rsidRPr="003F3C2F">
              <w:rPr>
                <w:rFonts w:ascii="Times New Roman" w:hAnsi="Times New Roman"/>
                <w:sz w:val="22"/>
                <w:szCs w:val="22"/>
              </w:rPr>
              <w:t>.</w:t>
            </w:r>
          </w:p>
          <w:p w14:paraId="56218328" w14:textId="77777777" w:rsidR="00F719AB" w:rsidRPr="003F3C2F" w:rsidRDefault="00F719AB" w:rsidP="00117112">
            <w:pPr>
              <w:pStyle w:val="BodyText"/>
              <w:spacing w:after="0"/>
              <w:ind w:left="0"/>
              <w:rPr>
                <w:rFonts w:ascii="Times New Roman" w:hAnsi="Times New Roman"/>
                <w:sz w:val="24"/>
                <w:szCs w:val="24"/>
              </w:rPr>
            </w:pPr>
          </w:p>
        </w:tc>
      </w:tr>
      <w:tr w:rsidR="00F719AB" w:rsidRPr="003F3C2F" w14:paraId="2907090C" w14:textId="77777777" w:rsidTr="00853252">
        <w:tc>
          <w:tcPr>
            <w:tcW w:w="9016" w:type="dxa"/>
            <w:shd w:val="clear" w:color="auto" w:fill="DBE5F1" w:themeFill="accent1" w:themeFillTint="33"/>
          </w:tcPr>
          <w:p w14:paraId="30A0EF3F" w14:textId="25274E0E" w:rsidR="00F719AB" w:rsidRPr="003F3C2F" w:rsidRDefault="00853252" w:rsidP="00853252">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Actions and Policy Measures</w:t>
            </w:r>
          </w:p>
        </w:tc>
      </w:tr>
      <w:tr w:rsidR="00F719AB" w:rsidRPr="003F3C2F" w14:paraId="320D1F0C" w14:textId="77777777" w:rsidTr="00F719AB">
        <w:tc>
          <w:tcPr>
            <w:tcW w:w="9016" w:type="dxa"/>
          </w:tcPr>
          <w:p w14:paraId="4E578DB0" w14:textId="77777777" w:rsidR="00853252" w:rsidRPr="003F3C2F" w:rsidRDefault="00853252" w:rsidP="00E90087">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shall be taken to meet the targets:</w:t>
            </w:r>
          </w:p>
          <w:p w14:paraId="014C1D06" w14:textId="2AAE7BF9" w:rsidR="00E90087" w:rsidRPr="003F3C2F" w:rsidRDefault="00853252"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Revise and update the Liberia Transport Master Plan by 2026</w:t>
            </w:r>
            <w:r w:rsidR="00E90087" w:rsidRPr="003F3C2F">
              <w:rPr>
                <w:rFonts w:ascii="Times New Roman" w:hAnsi="Times New Roman"/>
                <w:sz w:val="22"/>
                <w:szCs w:val="22"/>
              </w:rPr>
              <w:t xml:space="preserve"> with focus on increasing energy efficient public transport system.</w:t>
            </w:r>
          </w:p>
          <w:p w14:paraId="36C11DAC" w14:textId="397FB597" w:rsidR="00853252" w:rsidRPr="003F3C2F" w:rsidRDefault="00853252"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 xml:space="preserve">Implement vehicle labelling system </w:t>
            </w:r>
            <w:r w:rsidR="00E90087" w:rsidRPr="003F3C2F">
              <w:rPr>
                <w:rFonts w:ascii="Times New Roman" w:hAnsi="Times New Roman"/>
                <w:sz w:val="22"/>
                <w:szCs w:val="22"/>
              </w:rPr>
              <w:t xml:space="preserve">which </w:t>
            </w:r>
            <w:r w:rsidRPr="003F3C2F">
              <w:rPr>
                <w:rFonts w:ascii="Times New Roman" w:hAnsi="Times New Roman"/>
                <w:sz w:val="22"/>
                <w:szCs w:val="22"/>
              </w:rPr>
              <w:t>registers the level of GHG emissions for each vehicle by 2027</w:t>
            </w:r>
            <w:r w:rsidR="00E90087" w:rsidRPr="003F3C2F">
              <w:rPr>
                <w:rFonts w:ascii="Times New Roman" w:hAnsi="Times New Roman"/>
                <w:sz w:val="22"/>
                <w:szCs w:val="22"/>
              </w:rPr>
              <w:t>.</w:t>
            </w:r>
          </w:p>
          <w:p w14:paraId="551498DF" w14:textId="68BD9A51" w:rsidR="00F719AB" w:rsidRPr="003F3C2F" w:rsidRDefault="00853252"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Introduce a feebate / rebate programme through which the government levies fees on relatively high GHG emitting vehicles and provides rebates on lower emitting vehicles by 2027</w:t>
            </w:r>
            <w:r w:rsidR="00E90087" w:rsidRPr="003F3C2F">
              <w:rPr>
                <w:rFonts w:ascii="Times New Roman" w:hAnsi="Times New Roman"/>
                <w:sz w:val="22"/>
                <w:szCs w:val="22"/>
              </w:rPr>
              <w:t>.</w:t>
            </w:r>
          </w:p>
          <w:p w14:paraId="677C1FC5" w14:textId="47A1C5DB" w:rsidR="00853252" w:rsidRPr="003F3C2F" w:rsidRDefault="00853252"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Design and carryout information campaigns in at least 5 major cities (Monrovia, Buchanan, Kakata, Gbarnga, and Ganta) by 2026, through heightened driver awareness about better ways of driving cars through eco-driving, speed reduction and use of well-adjusted motors, electric and Compressed Natural Gas vehicles and promotion of public transport through the use of bus transport network and car sharing</w:t>
            </w:r>
            <w:r w:rsidR="00E90087" w:rsidRPr="003F3C2F">
              <w:rPr>
                <w:rFonts w:ascii="Times New Roman" w:hAnsi="Times New Roman"/>
                <w:sz w:val="22"/>
                <w:szCs w:val="22"/>
              </w:rPr>
              <w:t>.</w:t>
            </w:r>
          </w:p>
          <w:p w14:paraId="541E8625" w14:textId="58EDBA5E" w:rsidR="00853252" w:rsidRPr="003F3C2F" w:rsidRDefault="00853252" w:rsidP="00781F44">
            <w:pPr>
              <w:pStyle w:val="BodyText"/>
              <w:numPr>
                <w:ilvl w:val="0"/>
                <w:numId w:val="22"/>
              </w:numPr>
              <w:spacing w:after="0"/>
              <w:rPr>
                <w:rFonts w:ascii="Times New Roman" w:eastAsia="Arial" w:hAnsi="Times New Roman"/>
                <w:sz w:val="24"/>
                <w:szCs w:val="24"/>
              </w:rPr>
            </w:pPr>
            <w:r w:rsidRPr="003F3C2F">
              <w:rPr>
                <w:rFonts w:ascii="Times New Roman" w:hAnsi="Times New Roman"/>
                <w:sz w:val="22"/>
                <w:szCs w:val="22"/>
              </w:rPr>
              <w:t>Design a program to Promote diesel particulate filters for road and off-road vehicles.</w:t>
            </w:r>
          </w:p>
        </w:tc>
      </w:tr>
      <w:tr w:rsidR="00F719AB" w:rsidRPr="003F3C2F" w14:paraId="6CEEE4C7" w14:textId="77777777" w:rsidTr="0049391C">
        <w:tc>
          <w:tcPr>
            <w:tcW w:w="9016" w:type="dxa"/>
            <w:shd w:val="clear" w:color="auto" w:fill="126767"/>
          </w:tcPr>
          <w:p w14:paraId="72F2F005" w14:textId="131220C2" w:rsidR="00F719AB" w:rsidRPr="003F3C2F" w:rsidRDefault="0049391C" w:rsidP="0049391C">
            <w:pPr>
              <w:pStyle w:val="BodyText"/>
              <w:spacing w:after="0"/>
              <w:ind w:left="0"/>
              <w:jc w:val="center"/>
              <w:rPr>
                <w:rFonts w:ascii="Times New Roman" w:hAnsi="Times New Roman"/>
                <w:sz w:val="24"/>
                <w:szCs w:val="24"/>
              </w:rPr>
            </w:pPr>
            <w:r w:rsidRPr="003F3C2F">
              <w:rPr>
                <w:rFonts w:ascii="Times New Roman" w:hAnsi="Times New Roman"/>
                <w:b/>
                <w:bCs/>
                <w:color w:val="FFFFFF" w:themeColor="background1"/>
                <w:sz w:val="22"/>
                <w:szCs w:val="22"/>
              </w:rPr>
              <w:t>IPPU</w:t>
            </w:r>
          </w:p>
        </w:tc>
      </w:tr>
      <w:tr w:rsidR="0049391C" w:rsidRPr="003F3C2F" w14:paraId="1BB2CCF2" w14:textId="77777777" w:rsidTr="0049391C">
        <w:tc>
          <w:tcPr>
            <w:tcW w:w="9016" w:type="dxa"/>
            <w:shd w:val="clear" w:color="auto" w:fill="DBE5F1" w:themeFill="accent1" w:themeFillTint="33"/>
          </w:tcPr>
          <w:p w14:paraId="6F39E929" w14:textId="0E4B887B" w:rsidR="0049391C" w:rsidRPr="003F3C2F" w:rsidRDefault="0049391C" w:rsidP="0049391C">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Targets</w:t>
            </w:r>
          </w:p>
        </w:tc>
      </w:tr>
      <w:tr w:rsidR="0049391C" w:rsidRPr="003F3C2F" w14:paraId="3A8E7D1E" w14:textId="77777777" w:rsidTr="00F719AB">
        <w:tc>
          <w:tcPr>
            <w:tcW w:w="9016" w:type="dxa"/>
          </w:tcPr>
          <w:p w14:paraId="186BD1CB" w14:textId="6FDC02F6" w:rsidR="0049391C" w:rsidRPr="003F3C2F" w:rsidRDefault="0049391C" w:rsidP="0049391C">
            <w:pPr>
              <w:pStyle w:val="BodyText"/>
              <w:spacing w:after="0"/>
              <w:ind w:left="0"/>
              <w:rPr>
                <w:rFonts w:ascii="Times New Roman" w:hAnsi="Times New Roman"/>
                <w:sz w:val="22"/>
                <w:szCs w:val="22"/>
              </w:rPr>
            </w:pPr>
            <w:r w:rsidRPr="003F3C2F">
              <w:rPr>
                <w:rFonts w:ascii="Times New Roman" w:hAnsi="Times New Roman"/>
                <w:sz w:val="22"/>
                <w:szCs w:val="22"/>
              </w:rPr>
              <w:t xml:space="preserve">Liberia commits to reducing its HFC emissions </w:t>
            </w:r>
            <w:r w:rsidR="0029191E" w:rsidRPr="003F3C2F">
              <w:rPr>
                <w:rFonts w:ascii="Times New Roman" w:hAnsi="Times New Roman"/>
                <w:sz w:val="22"/>
                <w:szCs w:val="22"/>
              </w:rPr>
              <w:t xml:space="preserve">by </w:t>
            </w:r>
            <w:r w:rsidR="0029191E" w:rsidRPr="003F3C2F">
              <w:rPr>
                <w:rFonts w:ascii="Times New Roman" w:hAnsi="Times New Roman"/>
                <w:sz w:val="22"/>
                <w:szCs w:val="22"/>
                <w:highlight w:val="yellow"/>
              </w:rPr>
              <w:t>20% below BAU levels by 2030</w:t>
            </w:r>
            <w:r w:rsidR="0029191E" w:rsidRPr="003F3C2F">
              <w:rPr>
                <w:rFonts w:ascii="Times New Roman" w:hAnsi="Times New Roman"/>
                <w:sz w:val="24"/>
                <w:szCs w:val="24"/>
              </w:rPr>
              <w:t xml:space="preserve"> </w:t>
            </w:r>
            <w:r w:rsidRPr="003F3C2F">
              <w:rPr>
                <w:rFonts w:ascii="Times New Roman" w:hAnsi="Times New Roman"/>
                <w:sz w:val="22"/>
                <w:szCs w:val="22"/>
              </w:rPr>
              <w:t>as per the targets under the Kigali Amendment</w:t>
            </w:r>
            <w:r w:rsidR="0029191E" w:rsidRPr="003F3C2F">
              <w:rPr>
                <w:rFonts w:ascii="Times New Roman" w:hAnsi="Times New Roman"/>
                <w:sz w:val="22"/>
                <w:szCs w:val="22"/>
              </w:rPr>
              <w:t xml:space="preserve"> and below:</w:t>
            </w:r>
          </w:p>
          <w:p w14:paraId="41D2442E" w14:textId="4CBF4E42" w:rsidR="0049391C" w:rsidRPr="003F3C2F" w:rsidRDefault="0029191E" w:rsidP="00781F44">
            <w:pPr>
              <w:pStyle w:val="BodyText"/>
              <w:numPr>
                <w:ilvl w:val="0"/>
                <w:numId w:val="22"/>
              </w:numPr>
              <w:spacing w:after="0"/>
              <w:rPr>
                <w:rFonts w:ascii="Times New Roman" w:hAnsi="Times New Roman"/>
                <w:sz w:val="22"/>
                <w:szCs w:val="22"/>
              </w:rPr>
            </w:pPr>
            <w:r w:rsidRPr="003F3C2F">
              <w:rPr>
                <w:rFonts w:ascii="Times New Roman" w:hAnsi="Times New Roman"/>
                <w:sz w:val="22"/>
                <w:szCs w:val="22"/>
              </w:rPr>
              <w:t xml:space="preserve">By 2028, ensure that at least 50% increase in </w:t>
            </w:r>
            <w:r w:rsidR="0049391C" w:rsidRPr="003F3C2F">
              <w:rPr>
                <w:rFonts w:ascii="Times New Roman" w:hAnsi="Times New Roman"/>
                <w:sz w:val="22"/>
                <w:szCs w:val="22"/>
              </w:rPr>
              <w:t>the percentage of low-GWP (global warming potential) alternatives in economy-wide uses of HFCs, consistent with the HFC phase-down level.</w:t>
            </w:r>
          </w:p>
        </w:tc>
      </w:tr>
      <w:tr w:rsidR="0049391C" w:rsidRPr="003F3C2F" w14:paraId="37A32DFE" w14:textId="77777777" w:rsidTr="0049391C">
        <w:tc>
          <w:tcPr>
            <w:tcW w:w="9016" w:type="dxa"/>
            <w:shd w:val="clear" w:color="auto" w:fill="DBE5F1" w:themeFill="accent1" w:themeFillTint="33"/>
          </w:tcPr>
          <w:p w14:paraId="02F2CCB0" w14:textId="2642564E" w:rsidR="0049391C" w:rsidRPr="003F3C2F" w:rsidRDefault="0049391C" w:rsidP="0049391C">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Actions and Policy Measures</w:t>
            </w:r>
          </w:p>
        </w:tc>
      </w:tr>
      <w:tr w:rsidR="0049391C" w:rsidRPr="003F3C2F" w14:paraId="0E715C61" w14:textId="77777777" w:rsidTr="00F719AB">
        <w:tc>
          <w:tcPr>
            <w:tcW w:w="9016" w:type="dxa"/>
          </w:tcPr>
          <w:p w14:paraId="41F0D7BD" w14:textId="77777777" w:rsidR="0049391C" w:rsidRPr="003F3C2F" w:rsidRDefault="0049391C" w:rsidP="0049391C">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shall be taken to meet the targets:</w:t>
            </w:r>
          </w:p>
          <w:p w14:paraId="7D2FE1CE" w14:textId="77777777" w:rsidR="0029191E" w:rsidRPr="003F3C2F" w:rsidRDefault="0029191E"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By 2027, introduce a Hydrofluorocarbon (HFC) tax for regulating the consumption of fluorinated gases in the air conditioning and refrigeration sector.</w:t>
            </w:r>
          </w:p>
          <w:p w14:paraId="3FCBF48B" w14:textId="231836B4" w:rsidR="0049391C" w:rsidRPr="003F3C2F" w:rsidRDefault="0029191E"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Develop a national policy, by 2028 or legal framework mandating all new high-efficiency cooling equipment to utilize either a low-GWP HFC or an HFC alternative.</w:t>
            </w:r>
          </w:p>
        </w:tc>
      </w:tr>
      <w:tr w:rsidR="0049391C" w:rsidRPr="003F3C2F" w14:paraId="7A1892A1" w14:textId="77777777" w:rsidTr="0029191E">
        <w:tc>
          <w:tcPr>
            <w:tcW w:w="9016" w:type="dxa"/>
            <w:shd w:val="clear" w:color="auto" w:fill="126767"/>
          </w:tcPr>
          <w:p w14:paraId="4EA06391" w14:textId="11EB6372" w:rsidR="0049391C" w:rsidRPr="003F3C2F" w:rsidRDefault="0049391C" w:rsidP="0029191E">
            <w:pPr>
              <w:pStyle w:val="BodyText"/>
              <w:spacing w:after="0"/>
              <w:ind w:left="0"/>
              <w:jc w:val="center"/>
              <w:rPr>
                <w:rFonts w:ascii="Times New Roman" w:hAnsi="Times New Roman"/>
                <w:sz w:val="24"/>
                <w:szCs w:val="24"/>
              </w:rPr>
            </w:pPr>
            <w:r w:rsidRPr="003F3C2F">
              <w:rPr>
                <w:rFonts w:ascii="Times New Roman" w:hAnsi="Times New Roman"/>
                <w:b/>
                <w:bCs/>
                <w:color w:val="FFFFFF" w:themeColor="background1"/>
                <w:sz w:val="22"/>
                <w:szCs w:val="22"/>
              </w:rPr>
              <w:t>Agriculture</w:t>
            </w:r>
          </w:p>
        </w:tc>
      </w:tr>
      <w:tr w:rsidR="0049391C" w:rsidRPr="003F3C2F" w14:paraId="673EEAAA" w14:textId="77777777" w:rsidTr="0029191E">
        <w:tc>
          <w:tcPr>
            <w:tcW w:w="9016" w:type="dxa"/>
            <w:shd w:val="clear" w:color="auto" w:fill="DBE5F1" w:themeFill="accent1" w:themeFillTint="33"/>
          </w:tcPr>
          <w:p w14:paraId="11A44D87" w14:textId="2ADF6AD6" w:rsidR="0049391C" w:rsidRPr="003F3C2F" w:rsidRDefault="0049391C" w:rsidP="0029191E">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Targets</w:t>
            </w:r>
          </w:p>
        </w:tc>
      </w:tr>
      <w:tr w:rsidR="0049391C" w:rsidRPr="003F3C2F" w14:paraId="2A42F273" w14:textId="77777777" w:rsidTr="00F719AB">
        <w:tc>
          <w:tcPr>
            <w:tcW w:w="9016" w:type="dxa"/>
          </w:tcPr>
          <w:p w14:paraId="58125F92" w14:textId="77777777" w:rsidR="0049391C" w:rsidRPr="003F3C2F" w:rsidRDefault="0049391C" w:rsidP="006E0F66">
            <w:pPr>
              <w:pStyle w:val="BodyText"/>
              <w:spacing w:after="0"/>
              <w:ind w:left="0"/>
              <w:rPr>
                <w:rFonts w:ascii="Times New Roman" w:hAnsi="Times New Roman"/>
                <w:sz w:val="22"/>
                <w:szCs w:val="22"/>
              </w:rPr>
            </w:pPr>
            <w:r w:rsidRPr="003F3C2F">
              <w:rPr>
                <w:rFonts w:ascii="Times New Roman" w:hAnsi="Times New Roman"/>
                <w:sz w:val="22"/>
                <w:szCs w:val="22"/>
              </w:rPr>
              <w:t xml:space="preserve">In the Agriculture sector, Liberia commits to reducing agricultural GHG emissions by </w:t>
            </w:r>
            <w:r w:rsidRPr="003F3C2F">
              <w:rPr>
                <w:rFonts w:ascii="Times New Roman" w:hAnsi="Times New Roman"/>
                <w:sz w:val="22"/>
                <w:szCs w:val="22"/>
                <w:highlight w:val="yellow"/>
              </w:rPr>
              <w:t>40% below BAU levels by 2030</w:t>
            </w:r>
            <w:r w:rsidRPr="003F3C2F">
              <w:rPr>
                <w:rFonts w:ascii="Times New Roman" w:hAnsi="Times New Roman"/>
                <w:sz w:val="22"/>
                <w:szCs w:val="22"/>
              </w:rPr>
              <w:t xml:space="preserve"> through the following mitigation targets related to agriculture and livestock systems:</w:t>
            </w:r>
          </w:p>
          <w:p w14:paraId="53E936FC" w14:textId="083D90CA" w:rsidR="0049391C" w:rsidRPr="003F3C2F" w:rsidRDefault="0029191E"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By 2027, introduce programs that promote</w:t>
            </w:r>
            <w:r w:rsidR="0049391C" w:rsidRPr="003F3C2F">
              <w:rPr>
                <w:rFonts w:ascii="Times New Roman" w:hAnsi="Times New Roman"/>
                <w:sz w:val="22"/>
                <w:szCs w:val="22"/>
              </w:rPr>
              <w:t xml:space="preserve"> low-emissions rice cultivation and reducing the burning of field residues.</w:t>
            </w:r>
          </w:p>
          <w:p w14:paraId="4015086F" w14:textId="07FFCFEC" w:rsidR="0049391C" w:rsidRPr="003F3C2F" w:rsidRDefault="0049391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lastRenderedPageBreak/>
              <w:t>Incent</w:t>
            </w:r>
            <w:r w:rsidR="0029191E" w:rsidRPr="003F3C2F">
              <w:rPr>
                <w:rFonts w:ascii="Times New Roman" w:hAnsi="Times New Roman"/>
                <w:sz w:val="22"/>
                <w:szCs w:val="22"/>
              </w:rPr>
              <w:t>ivized</w:t>
            </w:r>
            <w:r w:rsidRPr="003F3C2F">
              <w:rPr>
                <w:rFonts w:ascii="Times New Roman" w:hAnsi="Times New Roman"/>
                <w:sz w:val="22"/>
                <w:szCs w:val="22"/>
              </w:rPr>
              <w:t xml:space="preserve"> improved feed, e.g., with legume fodder species, to reduce enteric fermentation, improved waste management, e.g. with bio-digesters and composting</w:t>
            </w:r>
            <w:r w:rsidR="0017771F" w:rsidRPr="003F3C2F">
              <w:rPr>
                <w:rFonts w:ascii="Times New Roman" w:hAnsi="Times New Roman"/>
                <w:sz w:val="22"/>
                <w:szCs w:val="22"/>
              </w:rPr>
              <w:t>.</w:t>
            </w:r>
          </w:p>
          <w:p w14:paraId="32EB9B39" w14:textId="412BE986" w:rsidR="0017771F" w:rsidRPr="003F3C2F" w:rsidRDefault="0017771F"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 xml:space="preserve">Ensure that </w:t>
            </w:r>
            <w:r w:rsidR="008D72C5" w:rsidRPr="003F3C2F">
              <w:rPr>
                <w:rFonts w:ascii="Times New Roman" w:hAnsi="Times New Roman"/>
                <w:sz w:val="22"/>
                <w:szCs w:val="22"/>
              </w:rPr>
              <w:t xml:space="preserve">about </w:t>
            </w:r>
            <w:r w:rsidRPr="003F3C2F">
              <w:rPr>
                <w:rFonts w:ascii="Times New Roman" w:hAnsi="Times New Roman"/>
                <w:sz w:val="22"/>
                <w:szCs w:val="22"/>
              </w:rPr>
              <w:t>60% of rice cultivation practiced by alternative wetting and drying (AWD) through the establishment and adoption of intermittent aeration of rice fields in irrigated rice cultivation</w:t>
            </w:r>
            <w:r w:rsidR="008D72C5" w:rsidRPr="003F3C2F">
              <w:rPr>
                <w:rFonts w:ascii="Times New Roman" w:hAnsi="Times New Roman"/>
                <w:sz w:val="22"/>
                <w:szCs w:val="22"/>
              </w:rPr>
              <w:t>.</w:t>
            </w:r>
          </w:p>
          <w:p w14:paraId="48EF9564" w14:textId="1D4B9EFE" w:rsidR="0029191E" w:rsidRPr="003F3C2F" w:rsidRDefault="0029191E" w:rsidP="0029191E">
            <w:pPr>
              <w:pStyle w:val="BodyText"/>
              <w:spacing w:after="0"/>
              <w:ind w:left="720"/>
              <w:rPr>
                <w:rFonts w:ascii="Times New Roman" w:hAnsi="Times New Roman"/>
                <w:sz w:val="12"/>
                <w:szCs w:val="12"/>
              </w:rPr>
            </w:pPr>
          </w:p>
        </w:tc>
      </w:tr>
      <w:tr w:rsidR="0049391C" w:rsidRPr="003F3C2F" w14:paraId="10CF8CE2" w14:textId="77777777" w:rsidTr="0029191E">
        <w:tc>
          <w:tcPr>
            <w:tcW w:w="9016" w:type="dxa"/>
            <w:shd w:val="clear" w:color="auto" w:fill="DBE5F1" w:themeFill="accent1" w:themeFillTint="33"/>
          </w:tcPr>
          <w:p w14:paraId="13F09D4F" w14:textId="671F3D51" w:rsidR="0049391C" w:rsidRPr="003F3C2F" w:rsidRDefault="0029191E" w:rsidP="0029191E">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lastRenderedPageBreak/>
              <w:t>Mitigation Actions and Policy Measures</w:t>
            </w:r>
          </w:p>
        </w:tc>
      </w:tr>
      <w:tr w:rsidR="0029191E" w:rsidRPr="003F3C2F" w14:paraId="227FB73F" w14:textId="77777777" w:rsidTr="0029191E">
        <w:tc>
          <w:tcPr>
            <w:tcW w:w="9016" w:type="dxa"/>
          </w:tcPr>
          <w:p w14:paraId="2F3CB389" w14:textId="185AFBD9" w:rsidR="0029191E" w:rsidRPr="003F3C2F" w:rsidRDefault="0029191E" w:rsidP="0029191E">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shall be taken to meet the targets:</w:t>
            </w:r>
          </w:p>
          <w:p w14:paraId="46C04BC3" w14:textId="135C2ECB" w:rsidR="0029191E" w:rsidRPr="003F3C2F" w:rsidRDefault="006E0F66"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By 2026, introduce</w:t>
            </w:r>
            <w:r w:rsidR="0029191E" w:rsidRPr="003F3C2F">
              <w:rPr>
                <w:rFonts w:ascii="Times New Roman" w:hAnsi="Times New Roman"/>
                <w:sz w:val="22"/>
                <w:szCs w:val="22"/>
              </w:rPr>
              <w:t xml:space="preserve"> incentives and programs to promote low-carbon agriculture practices, e.g., conservation agriculture, no/low tillage, agro-silvopastoral systems, improved lowland rice cultivation, multi-cropping, organic fertilizers, fertigation, composting, crop rotation, and sustainable agricultural waste management.</w:t>
            </w:r>
          </w:p>
          <w:p w14:paraId="2CBAB5E2" w14:textId="693982D9" w:rsidR="006E0F66" w:rsidRPr="003F3C2F" w:rsidRDefault="006E0F66"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Design and implement programs incentivizing low-emissions livestock systems, with practices to improve pasture and manure management, reach the optimal intensity of grazing, and reduce enteric fermentation.</w:t>
            </w:r>
          </w:p>
          <w:p w14:paraId="1C40F5EA" w14:textId="2C8146AA" w:rsidR="006E0F66" w:rsidRPr="003F3C2F" w:rsidRDefault="006E0F66"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By 20230, introduce program targeting 150,000 ha of lowland crop systems, 500,000 ha of upland sedentary crop systems, and 500,000 ha of pastureland.</w:t>
            </w:r>
          </w:p>
          <w:p w14:paraId="240A9E62" w14:textId="31FBAD40" w:rsidR="006E0F66" w:rsidRPr="003F3C2F" w:rsidRDefault="006E0F66"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Beginning 2026, allocate at least US$400,000.00 yearly for research on sustainable agricultural production and GHG mitigation potential from the agriculture and livestock sectors in Liberia.</w:t>
            </w:r>
          </w:p>
          <w:p w14:paraId="36ACE952" w14:textId="3446F7F8" w:rsidR="008D72C5" w:rsidRPr="003F3C2F" w:rsidRDefault="006E0F66"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 xml:space="preserve">By 2028, develop a policy mandating all new agricultural interventions/program or concession be granted only on degraded land rather than primary forest areas.  </w:t>
            </w:r>
          </w:p>
        </w:tc>
      </w:tr>
      <w:tr w:rsidR="0049391C" w:rsidRPr="003F3C2F" w14:paraId="5C77F471" w14:textId="77777777" w:rsidTr="009B0264">
        <w:tc>
          <w:tcPr>
            <w:tcW w:w="9016" w:type="dxa"/>
            <w:shd w:val="clear" w:color="auto" w:fill="126767"/>
          </w:tcPr>
          <w:p w14:paraId="0F196658" w14:textId="0A190AC0" w:rsidR="0049391C" w:rsidRPr="003F3C2F" w:rsidRDefault="0049391C" w:rsidP="009B0264">
            <w:pPr>
              <w:pStyle w:val="BodyText"/>
              <w:spacing w:after="0"/>
              <w:ind w:left="0"/>
              <w:jc w:val="center"/>
              <w:rPr>
                <w:rFonts w:ascii="Times New Roman" w:hAnsi="Times New Roman"/>
                <w:sz w:val="24"/>
                <w:szCs w:val="24"/>
              </w:rPr>
            </w:pPr>
            <w:r w:rsidRPr="003F3C2F">
              <w:rPr>
                <w:rFonts w:ascii="Times New Roman" w:hAnsi="Times New Roman"/>
                <w:b/>
                <w:bCs/>
                <w:color w:val="FFFFFF" w:themeColor="background1"/>
                <w:sz w:val="22"/>
                <w:szCs w:val="22"/>
              </w:rPr>
              <w:t>Forestry</w:t>
            </w:r>
          </w:p>
        </w:tc>
      </w:tr>
      <w:tr w:rsidR="0049391C" w:rsidRPr="003F3C2F" w14:paraId="5E64A32E" w14:textId="77777777" w:rsidTr="00CD5B8C">
        <w:tc>
          <w:tcPr>
            <w:tcW w:w="9016" w:type="dxa"/>
            <w:shd w:val="clear" w:color="auto" w:fill="DBE5F1" w:themeFill="accent1" w:themeFillTint="33"/>
          </w:tcPr>
          <w:p w14:paraId="72AC7DD7" w14:textId="26633BCC" w:rsidR="0049391C" w:rsidRPr="003F3C2F" w:rsidRDefault="00CD5B8C" w:rsidP="00CD5B8C">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Targets</w:t>
            </w:r>
          </w:p>
        </w:tc>
      </w:tr>
      <w:tr w:rsidR="00F719AB" w:rsidRPr="003F3C2F" w14:paraId="5C91A845" w14:textId="77777777" w:rsidTr="00F719AB">
        <w:tc>
          <w:tcPr>
            <w:tcW w:w="9016" w:type="dxa"/>
          </w:tcPr>
          <w:p w14:paraId="257EE3D7" w14:textId="77777777" w:rsidR="0049391C" w:rsidRPr="003F3C2F" w:rsidRDefault="0049391C" w:rsidP="0049391C">
            <w:pPr>
              <w:pStyle w:val="BodyText"/>
              <w:spacing w:after="0"/>
              <w:ind w:left="0"/>
              <w:rPr>
                <w:rFonts w:ascii="Times New Roman" w:hAnsi="Times New Roman"/>
                <w:sz w:val="22"/>
                <w:szCs w:val="22"/>
              </w:rPr>
            </w:pPr>
            <w:r w:rsidRPr="003F3C2F">
              <w:rPr>
                <w:rFonts w:ascii="Times New Roman" w:hAnsi="Times New Roman"/>
                <w:sz w:val="22"/>
                <w:szCs w:val="22"/>
              </w:rPr>
              <w:t xml:space="preserve">Liberia’s commitment to reduce LULUCF emissions is to reduce GHG emissions from forest conversion </w:t>
            </w:r>
            <w:r w:rsidRPr="003F3C2F">
              <w:rPr>
                <w:rFonts w:ascii="Times New Roman" w:hAnsi="Times New Roman"/>
                <w:sz w:val="22"/>
                <w:szCs w:val="22"/>
                <w:highlight w:val="yellow"/>
              </w:rPr>
              <w:t>by 20% below BAU levels by 2030</w:t>
            </w:r>
            <w:r w:rsidRPr="003F3C2F">
              <w:rPr>
                <w:rFonts w:ascii="Times New Roman" w:hAnsi="Times New Roman"/>
                <w:sz w:val="22"/>
                <w:szCs w:val="22"/>
              </w:rPr>
              <w:t>. Sectoral targets include:</w:t>
            </w:r>
          </w:p>
          <w:p w14:paraId="0FF76954" w14:textId="77777777" w:rsidR="0049391C" w:rsidRPr="003F3C2F" w:rsidRDefault="0049391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Reduce the national deforestation rate by 50% by 2030</w:t>
            </w:r>
          </w:p>
          <w:p w14:paraId="2190742A" w14:textId="77777777" w:rsidR="0049391C" w:rsidRPr="003F3C2F" w:rsidRDefault="0049391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Reforest an average of 12,285 ha per year to enhance forest carbon stocks, including through natural regeneration and tree planting through community and school programs.</w:t>
            </w:r>
          </w:p>
          <w:p w14:paraId="3DC52F06" w14:textId="77777777" w:rsidR="0049391C" w:rsidRPr="003F3C2F" w:rsidRDefault="0049391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Restore 25% of priority degraded forests by 2030.</w:t>
            </w:r>
          </w:p>
          <w:p w14:paraId="50A9C2C2" w14:textId="77777777" w:rsidR="0049391C" w:rsidRPr="003F3C2F" w:rsidRDefault="0049391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Enhance carbon stocks through annual carbon sequestration in the urban canopy and the planting of additional trees in urban green corridors.</w:t>
            </w:r>
          </w:p>
          <w:p w14:paraId="39390C17" w14:textId="67B55257" w:rsidR="00F719AB" w:rsidRPr="003F3C2F" w:rsidRDefault="00CD5B8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Establish, by 2029, at least 7 new protected areas covering more than 800,000 ha of forested land.</w:t>
            </w:r>
          </w:p>
        </w:tc>
      </w:tr>
      <w:tr w:rsidR="0049391C" w:rsidRPr="003F3C2F" w14:paraId="6FD25223" w14:textId="77777777" w:rsidTr="00CD5B8C">
        <w:tc>
          <w:tcPr>
            <w:tcW w:w="9016" w:type="dxa"/>
            <w:shd w:val="clear" w:color="auto" w:fill="DBE5F1" w:themeFill="accent1" w:themeFillTint="33"/>
          </w:tcPr>
          <w:p w14:paraId="01D8A8DA" w14:textId="6222535C" w:rsidR="0049391C" w:rsidRPr="003F3C2F" w:rsidRDefault="00CD5B8C" w:rsidP="00CD5B8C">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Actions and Policy Measures</w:t>
            </w:r>
          </w:p>
        </w:tc>
      </w:tr>
      <w:tr w:rsidR="00CD5B8C" w:rsidRPr="003F3C2F" w14:paraId="4F0C9836" w14:textId="77777777" w:rsidTr="00F719AB">
        <w:tc>
          <w:tcPr>
            <w:tcW w:w="9016" w:type="dxa"/>
          </w:tcPr>
          <w:p w14:paraId="58CD7D6C" w14:textId="2339B56F" w:rsidR="00CD5B8C" w:rsidRPr="003F3C2F" w:rsidRDefault="00CD5B8C" w:rsidP="00084FC2">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shall be taken to meet the targets:</w:t>
            </w:r>
          </w:p>
          <w:p w14:paraId="3B4EB3DD" w14:textId="77777777" w:rsidR="00CD5B8C" w:rsidRPr="003F3C2F" w:rsidRDefault="00CD5B8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Increase the urban canopy covers in 5 cities (Paynesville, Monrovia, Buchanan, Gbarnga and Gompa) to 50%. Y planting at least 1,500 trees in each city annually from 2026 till 2030.</w:t>
            </w:r>
          </w:p>
          <w:p w14:paraId="5C9DB22C" w14:textId="77777777" w:rsidR="00CD5B8C" w:rsidRPr="003F3C2F" w:rsidRDefault="00CD5B8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Revised and update the national forest policy and implementation strategy by integrating carbon as a significant element of sustainable forest management</w:t>
            </w:r>
          </w:p>
          <w:p w14:paraId="23339F51" w14:textId="77777777" w:rsidR="00CD5B8C" w:rsidRPr="003F3C2F" w:rsidRDefault="00CD5B8C" w:rsidP="00781F44">
            <w:pPr>
              <w:pStyle w:val="BodyText"/>
              <w:numPr>
                <w:ilvl w:val="0"/>
                <w:numId w:val="26"/>
              </w:numPr>
              <w:rPr>
                <w:rFonts w:ascii="Times New Roman" w:hAnsi="Times New Roman"/>
                <w:sz w:val="22"/>
                <w:szCs w:val="22"/>
              </w:rPr>
            </w:pPr>
            <w:r w:rsidRPr="003F3C2F">
              <w:rPr>
                <w:rFonts w:ascii="Times New Roman" w:hAnsi="Times New Roman"/>
                <w:sz w:val="22"/>
                <w:szCs w:val="22"/>
              </w:rPr>
              <w:t>Conserve all High Conservation Value-High Carbon Stock (HCV-HCS) forests within agricultural, tree crop, and commercial forestry concessions, and site new concessions on open/degraded land by 2030 (Link to Agriculture sector)</w:t>
            </w:r>
          </w:p>
          <w:p w14:paraId="6726AEB0" w14:textId="77777777" w:rsidR="00CD5B8C" w:rsidRPr="003F3C2F" w:rsidRDefault="00CD5B8C"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lastRenderedPageBreak/>
              <w:t>By 2030, engage at least 3,500 forest dependent communities with strategic messaging about incentives and opportunities to reduce their climate footprint by conserving community forest.</w:t>
            </w:r>
          </w:p>
          <w:p w14:paraId="3D1E50C0" w14:textId="2B4DECFE" w:rsidR="00CC2913" w:rsidRPr="003F3C2F" w:rsidRDefault="00084FC2" w:rsidP="00781F44">
            <w:pPr>
              <w:pStyle w:val="BodyText"/>
              <w:numPr>
                <w:ilvl w:val="0"/>
                <w:numId w:val="26"/>
              </w:numPr>
              <w:spacing w:after="0"/>
              <w:rPr>
                <w:rFonts w:ascii="Times New Roman" w:hAnsi="Times New Roman"/>
                <w:sz w:val="22"/>
                <w:szCs w:val="22"/>
              </w:rPr>
            </w:pPr>
            <w:r w:rsidRPr="003F3C2F">
              <w:rPr>
                <w:rFonts w:ascii="Times New Roman" w:hAnsi="Times New Roman"/>
                <w:sz w:val="22"/>
                <w:szCs w:val="22"/>
              </w:rPr>
              <w:t>Beginning 2027, conduct at least 5 trainings per year to develop capacity for forest managers, researchers, and forest-dependent communities to implement mitigation actions in the forest sector for uptake of best practices for climate smart forest management, monitoring and conservation, increase forestry research, and enable forest communities to implement improved forestry practices.</w:t>
            </w:r>
          </w:p>
        </w:tc>
      </w:tr>
      <w:tr w:rsidR="0049391C" w:rsidRPr="003F3C2F" w14:paraId="27BE02BB" w14:textId="77777777" w:rsidTr="00670C13">
        <w:tc>
          <w:tcPr>
            <w:tcW w:w="9016" w:type="dxa"/>
            <w:shd w:val="clear" w:color="auto" w:fill="126767"/>
          </w:tcPr>
          <w:p w14:paraId="4AEAAB64" w14:textId="154345F0" w:rsidR="0049391C" w:rsidRPr="003F3C2F" w:rsidRDefault="0049391C" w:rsidP="00670C13">
            <w:pPr>
              <w:pStyle w:val="BodyText"/>
              <w:spacing w:after="0"/>
              <w:ind w:left="0"/>
              <w:jc w:val="center"/>
              <w:rPr>
                <w:rFonts w:ascii="Times New Roman" w:hAnsi="Times New Roman"/>
                <w:sz w:val="24"/>
                <w:szCs w:val="24"/>
              </w:rPr>
            </w:pPr>
            <w:r w:rsidRPr="003F3C2F">
              <w:rPr>
                <w:rFonts w:ascii="Times New Roman" w:hAnsi="Times New Roman"/>
                <w:b/>
                <w:bCs/>
                <w:color w:val="FFFFFF" w:themeColor="background1"/>
                <w:sz w:val="22"/>
                <w:szCs w:val="22"/>
              </w:rPr>
              <w:lastRenderedPageBreak/>
              <w:t>Waste</w:t>
            </w:r>
          </w:p>
        </w:tc>
      </w:tr>
      <w:tr w:rsidR="0049391C" w:rsidRPr="003F3C2F" w14:paraId="73A7C792" w14:textId="77777777" w:rsidTr="00670C13">
        <w:tc>
          <w:tcPr>
            <w:tcW w:w="9016" w:type="dxa"/>
            <w:shd w:val="clear" w:color="auto" w:fill="DBE5F1" w:themeFill="accent1" w:themeFillTint="33"/>
          </w:tcPr>
          <w:p w14:paraId="03D09319" w14:textId="501ECE7D" w:rsidR="0049391C" w:rsidRPr="003F3C2F" w:rsidRDefault="00670C13" w:rsidP="00670C13">
            <w:pPr>
              <w:pStyle w:val="BodyText"/>
              <w:spacing w:after="0"/>
              <w:ind w:left="0"/>
              <w:jc w:val="center"/>
              <w:rPr>
                <w:rFonts w:ascii="Times New Roman" w:hAnsi="Times New Roman"/>
                <w:sz w:val="22"/>
                <w:szCs w:val="22"/>
              </w:rPr>
            </w:pPr>
            <w:r w:rsidRPr="003F3C2F">
              <w:rPr>
                <w:rFonts w:ascii="Times New Roman" w:eastAsia="Calibri" w:hAnsi="Times New Roman"/>
                <w:b/>
                <w:sz w:val="22"/>
                <w:szCs w:val="22"/>
                <w:lang w:val="en-US" w:eastAsia="en-US"/>
              </w:rPr>
              <w:t>Mitigation Targets</w:t>
            </w:r>
          </w:p>
        </w:tc>
      </w:tr>
      <w:tr w:rsidR="0049391C" w:rsidRPr="003F3C2F" w14:paraId="6A5B5364" w14:textId="77777777" w:rsidTr="00F719AB">
        <w:tc>
          <w:tcPr>
            <w:tcW w:w="9016" w:type="dxa"/>
          </w:tcPr>
          <w:p w14:paraId="4C9B251A" w14:textId="76FEC900" w:rsidR="0049391C" w:rsidRPr="003F3C2F" w:rsidRDefault="0049391C" w:rsidP="0049391C">
            <w:pPr>
              <w:pStyle w:val="BodyText"/>
              <w:spacing w:after="0"/>
              <w:ind w:left="0"/>
              <w:rPr>
                <w:rFonts w:ascii="Times New Roman" w:hAnsi="Times New Roman"/>
                <w:sz w:val="22"/>
                <w:szCs w:val="22"/>
              </w:rPr>
            </w:pPr>
            <w:r w:rsidRPr="003F3C2F">
              <w:rPr>
                <w:rFonts w:ascii="Times New Roman" w:hAnsi="Times New Roman"/>
                <w:sz w:val="22"/>
                <w:szCs w:val="22"/>
              </w:rPr>
              <w:t xml:space="preserve">Liberia commits to the reducing GHG emissions from waste sector by </w:t>
            </w:r>
            <w:r w:rsidRPr="003F3C2F">
              <w:rPr>
                <w:rFonts w:ascii="Times New Roman" w:hAnsi="Times New Roman"/>
                <w:sz w:val="22"/>
                <w:szCs w:val="22"/>
                <w:highlight w:val="yellow"/>
              </w:rPr>
              <w:t>7.6% below BAU levels by 2030</w:t>
            </w:r>
            <w:r w:rsidR="003C215F" w:rsidRPr="003F3C2F">
              <w:rPr>
                <w:rFonts w:ascii="Times New Roman" w:hAnsi="Times New Roman"/>
                <w:sz w:val="22"/>
                <w:szCs w:val="22"/>
              </w:rPr>
              <w:t>: Sectoral targets include:</w:t>
            </w:r>
          </w:p>
          <w:p w14:paraId="76EB475C" w14:textId="1B1B2495" w:rsidR="0049391C" w:rsidRPr="003F3C2F" w:rsidRDefault="0049391C"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Implementation of a landfill gas recovery system on When Town Landfill and Cheesemanburg Landfill</w:t>
            </w:r>
            <w:r w:rsidR="00670C13" w:rsidRPr="003F3C2F">
              <w:rPr>
                <w:rFonts w:ascii="Times New Roman" w:hAnsi="Times New Roman"/>
                <w:sz w:val="22"/>
                <w:szCs w:val="22"/>
              </w:rPr>
              <w:t>.</w:t>
            </w:r>
          </w:p>
          <w:p w14:paraId="60244441" w14:textId="71834273" w:rsidR="0049391C" w:rsidRPr="003F3C2F" w:rsidRDefault="0049391C"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Development of small-scale composting of market waste with a production of 500t/</w:t>
            </w:r>
            <w:r w:rsidR="00670C13" w:rsidRPr="003F3C2F">
              <w:rPr>
                <w:rFonts w:ascii="Times New Roman" w:hAnsi="Times New Roman"/>
                <w:sz w:val="22"/>
                <w:szCs w:val="22"/>
              </w:rPr>
              <w:t xml:space="preserve"> </w:t>
            </w:r>
            <w:r w:rsidRPr="003F3C2F">
              <w:rPr>
                <w:rFonts w:ascii="Times New Roman" w:hAnsi="Times New Roman"/>
                <w:sz w:val="22"/>
                <w:szCs w:val="22"/>
              </w:rPr>
              <w:t>year each</w:t>
            </w:r>
            <w:r w:rsidR="00670C13" w:rsidRPr="003F3C2F">
              <w:rPr>
                <w:rFonts w:ascii="Times New Roman" w:hAnsi="Times New Roman"/>
                <w:sz w:val="22"/>
                <w:szCs w:val="22"/>
              </w:rPr>
              <w:t>.</w:t>
            </w:r>
          </w:p>
        </w:tc>
      </w:tr>
      <w:tr w:rsidR="0049391C" w:rsidRPr="003F3C2F" w14:paraId="41145265" w14:textId="77777777" w:rsidTr="00670C13">
        <w:tc>
          <w:tcPr>
            <w:tcW w:w="9016" w:type="dxa"/>
            <w:shd w:val="clear" w:color="auto" w:fill="DBE5F1" w:themeFill="accent1" w:themeFillTint="33"/>
          </w:tcPr>
          <w:p w14:paraId="73528DBC" w14:textId="72D995F2" w:rsidR="0049391C" w:rsidRPr="003F3C2F" w:rsidRDefault="00670C13" w:rsidP="00670C13">
            <w:pPr>
              <w:pStyle w:val="BodyText"/>
              <w:spacing w:after="0"/>
              <w:ind w:left="0"/>
              <w:jc w:val="center"/>
              <w:rPr>
                <w:rFonts w:ascii="Times New Roman" w:hAnsi="Times New Roman"/>
                <w:sz w:val="24"/>
                <w:szCs w:val="24"/>
              </w:rPr>
            </w:pPr>
            <w:r w:rsidRPr="003F3C2F">
              <w:rPr>
                <w:rFonts w:ascii="Times New Roman" w:eastAsia="Calibri" w:hAnsi="Times New Roman"/>
                <w:b/>
                <w:sz w:val="22"/>
                <w:szCs w:val="22"/>
                <w:lang w:val="en-US" w:eastAsia="en-US"/>
              </w:rPr>
              <w:t>Mitigation Actions and Policy Measures</w:t>
            </w:r>
          </w:p>
        </w:tc>
      </w:tr>
      <w:tr w:rsidR="0049391C" w:rsidRPr="003F3C2F" w14:paraId="55E736F2" w14:textId="77777777" w:rsidTr="00F719AB">
        <w:tc>
          <w:tcPr>
            <w:tcW w:w="9016" w:type="dxa"/>
          </w:tcPr>
          <w:p w14:paraId="7891C928" w14:textId="77777777" w:rsidR="00670C13" w:rsidRPr="003F3C2F" w:rsidRDefault="00670C13" w:rsidP="00670C13">
            <w:pPr>
              <w:pStyle w:val="BodyText"/>
              <w:spacing w:after="0"/>
              <w:ind w:left="0"/>
              <w:rPr>
                <w:rFonts w:ascii="Times New Roman" w:hAnsi="Times New Roman"/>
                <w:sz w:val="22"/>
                <w:szCs w:val="22"/>
              </w:rPr>
            </w:pPr>
            <w:r w:rsidRPr="003F3C2F">
              <w:rPr>
                <w:rFonts w:ascii="Times New Roman" w:hAnsi="Times New Roman"/>
                <w:sz w:val="22"/>
                <w:szCs w:val="22"/>
              </w:rPr>
              <w:t>The following actions and policy measures shall be taken to meet the targets:</w:t>
            </w:r>
          </w:p>
          <w:p w14:paraId="63FF83B9" w14:textId="77777777" w:rsidR="00670C13" w:rsidRPr="003F3C2F" w:rsidRDefault="00670C13" w:rsidP="00670C13">
            <w:pPr>
              <w:tabs>
                <w:tab w:val="left" w:pos="840"/>
              </w:tabs>
              <w:spacing w:line="217" w:lineRule="auto"/>
              <w:ind w:right="960"/>
              <w:rPr>
                <w:rFonts w:eastAsia="Arial"/>
                <w:sz w:val="24"/>
                <w:szCs w:val="24"/>
              </w:rPr>
            </w:pPr>
          </w:p>
          <w:p w14:paraId="6D369D41" w14:textId="776FE665" w:rsidR="00670C13" w:rsidRPr="003F3C2F" w:rsidRDefault="00670C13"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By 2027, strengthen of operational and financial management capacities at the community and institutional level for integrated waste management.</w:t>
            </w:r>
          </w:p>
          <w:p w14:paraId="1CFDCB4F" w14:textId="7173D2C7" w:rsidR="00670C13" w:rsidRPr="003F3C2F" w:rsidRDefault="00670C13"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By 2027, launch a nation-wide campaign to install public waste collection bins on every street and in every community.</w:t>
            </w:r>
          </w:p>
          <w:p w14:paraId="163EE3A2" w14:textId="307AF23E" w:rsidR="00670C13" w:rsidRPr="003F3C2F" w:rsidRDefault="00670C13"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 xml:space="preserve">Design a program to support and promote involvement of at least 500 community based enterprise (CBEs) for waste collection in Monrovia, Kakata, and Gompa by 2027 with the intent to expand by 2030 </w:t>
            </w:r>
          </w:p>
          <w:p w14:paraId="5D96C23B" w14:textId="0EAF3D15" w:rsidR="00670C13" w:rsidRPr="003F3C2F" w:rsidRDefault="003C215F"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Encourage public participation and capacity building through education and awareness raising programs to enhance awareness on proper waste management practice.</w:t>
            </w:r>
          </w:p>
          <w:p w14:paraId="1679B37B" w14:textId="77777777" w:rsidR="0049391C" w:rsidRPr="003F3C2F" w:rsidRDefault="0049391C" w:rsidP="00F719AB">
            <w:pPr>
              <w:pStyle w:val="BodyText"/>
              <w:spacing w:after="0"/>
              <w:ind w:left="0"/>
              <w:rPr>
                <w:rFonts w:ascii="Times New Roman" w:hAnsi="Times New Roman"/>
                <w:sz w:val="24"/>
                <w:szCs w:val="24"/>
              </w:rPr>
            </w:pPr>
          </w:p>
        </w:tc>
      </w:tr>
    </w:tbl>
    <w:p w14:paraId="12F19B60" w14:textId="77777777" w:rsidR="00F719AB" w:rsidRPr="003F3C2F" w:rsidRDefault="00F719AB" w:rsidP="00117112">
      <w:pPr>
        <w:pStyle w:val="BodyText"/>
        <w:spacing w:after="0"/>
        <w:ind w:left="0"/>
        <w:rPr>
          <w:rFonts w:ascii="Times New Roman" w:hAnsi="Times New Roman"/>
          <w:sz w:val="24"/>
          <w:szCs w:val="24"/>
        </w:rPr>
      </w:pPr>
    </w:p>
    <w:p w14:paraId="1A29BFF2" w14:textId="77777777" w:rsidR="00117112" w:rsidRPr="003F3C2F" w:rsidRDefault="00117112" w:rsidP="00117112">
      <w:pPr>
        <w:pStyle w:val="BodyText"/>
        <w:spacing w:after="0"/>
        <w:ind w:left="0"/>
        <w:rPr>
          <w:rFonts w:ascii="Times New Roman" w:hAnsi="Times New Roman"/>
          <w:sz w:val="24"/>
          <w:szCs w:val="24"/>
        </w:rPr>
      </w:pPr>
    </w:p>
    <w:p w14:paraId="5C7660A3" w14:textId="77777777" w:rsidR="00432A93" w:rsidRPr="003F3C2F" w:rsidRDefault="00432A93" w:rsidP="00E648F2">
      <w:pPr>
        <w:pStyle w:val="BodyText"/>
        <w:ind w:left="0"/>
        <w:rPr>
          <w:rFonts w:ascii="Times New Roman" w:hAnsi="Times New Roman"/>
        </w:rPr>
      </w:pPr>
      <w:bookmarkStart w:id="50" w:name="page15"/>
      <w:bookmarkEnd w:id="47"/>
      <w:bookmarkEnd w:id="50"/>
    </w:p>
    <w:p w14:paraId="64FD867C" w14:textId="62891A6A" w:rsidR="00FE4745" w:rsidRPr="003F3C2F" w:rsidRDefault="00FE4745" w:rsidP="00E648F2">
      <w:pPr>
        <w:pStyle w:val="Heading2"/>
        <w:numPr>
          <w:ilvl w:val="1"/>
          <w:numId w:val="12"/>
        </w:numPr>
        <w:spacing w:before="240" w:after="240" w:line="276" w:lineRule="auto"/>
      </w:pPr>
      <w:bookmarkStart w:id="51" w:name="_Toc205444887"/>
      <w:r w:rsidRPr="003F3C2F">
        <w:t>Adaptation</w:t>
      </w:r>
      <w:bookmarkEnd w:id="51"/>
      <w:r w:rsidRPr="003F3C2F">
        <w:t xml:space="preserve"> </w:t>
      </w:r>
      <w:r w:rsidR="00012871" w:rsidRPr="003F3C2F">
        <w:t>Commitments</w:t>
      </w:r>
    </w:p>
    <w:p w14:paraId="4FC63A4B" w14:textId="46349339" w:rsidR="00874B30" w:rsidRPr="003F3C2F" w:rsidRDefault="00874B30" w:rsidP="00E648F2">
      <w:pPr>
        <w:spacing w:line="276" w:lineRule="auto"/>
        <w:jc w:val="both"/>
        <w:rPr>
          <w:sz w:val="24"/>
          <w:szCs w:val="24"/>
        </w:rPr>
      </w:pPr>
      <w:r w:rsidRPr="003F3C2F">
        <w:rPr>
          <w:sz w:val="24"/>
          <w:szCs w:val="24"/>
        </w:rPr>
        <w:t>Liberia is one of the countries most vulnerable to the impacts of climate change due to its fragile socio-economic context, heavy reliance on climate-sensitive sectors, and limited adaptive capacity. In response, the Government of Liberia has developed a comprehensive framework to address climate change adaptation, as reflected in its National Adaptation Plan (NAP), NDCs, and sector-specific vulnerability assessments. The country’s adaptation objectives and strategies focus on minimizing climate-related risks and building resilience in critical sectors</w:t>
      </w:r>
      <w:r w:rsidR="00E346AB" w:rsidRPr="003F3C2F">
        <w:rPr>
          <w:sz w:val="24"/>
          <w:szCs w:val="24"/>
        </w:rPr>
        <w:t>,</w:t>
      </w:r>
      <w:r w:rsidRPr="003F3C2F">
        <w:rPr>
          <w:sz w:val="24"/>
          <w:szCs w:val="24"/>
        </w:rPr>
        <w:t xml:space="preserve"> including agriculture, coastal zones, energy, forestry, health, transport, and freshwater resources.</w:t>
      </w:r>
    </w:p>
    <w:p w14:paraId="35F89D69" w14:textId="77777777" w:rsidR="007F1196" w:rsidRPr="003F3C2F" w:rsidRDefault="007F1196" w:rsidP="007F1196">
      <w:pPr>
        <w:pStyle w:val="BodyText"/>
        <w:rPr>
          <w:rFonts w:ascii="Times New Roman" w:hAnsi="Times New Roman"/>
        </w:rPr>
      </w:pPr>
    </w:p>
    <w:p w14:paraId="3EF4DC11" w14:textId="77777777" w:rsidR="007F1196" w:rsidRPr="003F3C2F" w:rsidRDefault="007F1196" w:rsidP="007F1196">
      <w:pPr>
        <w:pStyle w:val="BodyText"/>
        <w:rPr>
          <w:rFonts w:ascii="Times New Roman" w:hAnsi="Times New Roman"/>
        </w:rPr>
      </w:pPr>
    </w:p>
    <w:tbl>
      <w:tblPr>
        <w:tblStyle w:val="TableGrid"/>
        <w:tblW w:w="0" w:type="auto"/>
        <w:tblLook w:val="04A0" w:firstRow="1" w:lastRow="0" w:firstColumn="1" w:lastColumn="0" w:noHBand="0" w:noVBand="1"/>
      </w:tblPr>
      <w:tblGrid>
        <w:gridCol w:w="9016"/>
      </w:tblGrid>
      <w:tr w:rsidR="007F1196" w:rsidRPr="003F3C2F" w14:paraId="774D3B10" w14:textId="77777777" w:rsidTr="007F1196">
        <w:tc>
          <w:tcPr>
            <w:tcW w:w="9016" w:type="dxa"/>
            <w:shd w:val="clear" w:color="auto" w:fill="126767"/>
          </w:tcPr>
          <w:p w14:paraId="2520D30C" w14:textId="1135DB1C" w:rsidR="007F1196" w:rsidRPr="003F3C2F" w:rsidRDefault="007F1196" w:rsidP="007F1196">
            <w:pPr>
              <w:pStyle w:val="BodyText"/>
              <w:spacing w:after="0"/>
              <w:ind w:left="0"/>
              <w:jc w:val="center"/>
              <w:rPr>
                <w:rFonts w:ascii="Times New Roman" w:hAnsi="Times New Roman"/>
                <w:sz w:val="22"/>
                <w:szCs w:val="22"/>
              </w:rPr>
            </w:pPr>
            <w:r w:rsidRPr="003F3C2F">
              <w:rPr>
                <w:rFonts w:ascii="Times New Roman" w:hAnsi="Times New Roman"/>
                <w:b/>
                <w:bCs/>
                <w:color w:val="FFFFFF" w:themeColor="background1"/>
                <w:sz w:val="22"/>
                <w:szCs w:val="22"/>
              </w:rPr>
              <w:t>Agriculture</w:t>
            </w:r>
          </w:p>
        </w:tc>
      </w:tr>
      <w:tr w:rsidR="007F1196" w:rsidRPr="003F3C2F" w14:paraId="6D01B760" w14:textId="77777777" w:rsidTr="007F1196">
        <w:tc>
          <w:tcPr>
            <w:tcW w:w="9016" w:type="dxa"/>
            <w:shd w:val="clear" w:color="auto" w:fill="DBE5F1" w:themeFill="accent1" w:themeFillTint="33"/>
          </w:tcPr>
          <w:p w14:paraId="68DFCE7E" w14:textId="7721834D" w:rsidR="007F1196" w:rsidRPr="003F3C2F" w:rsidRDefault="007F1196" w:rsidP="007F1196">
            <w:pPr>
              <w:pStyle w:val="BodyText"/>
              <w:spacing w:after="0"/>
              <w:ind w:left="0"/>
              <w:jc w:val="center"/>
              <w:rPr>
                <w:rFonts w:ascii="Times New Roman" w:hAnsi="Times New Roman"/>
                <w:b/>
                <w:bCs/>
                <w:sz w:val="22"/>
                <w:szCs w:val="22"/>
              </w:rPr>
            </w:pPr>
            <w:r w:rsidRPr="003F3C2F">
              <w:rPr>
                <w:rFonts w:ascii="Times New Roman" w:hAnsi="Times New Roman"/>
                <w:b/>
                <w:bCs/>
                <w:color w:val="000000" w:themeColor="text1"/>
                <w:sz w:val="22"/>
                <w:szCs w:val="22"/>
              </w:rPr>
              <w:t>Adaptation Targets</w:t>
            </w:r>
          </w:p>
        </w:tc>
      </w:tr>
      <w:tr w:rsidR="007F1196" w:rsidRPr="003F3C2F" w14:paraId="64544309" w14:textId="77777777" w:rsidTr="007F1196">
        <w:tc>
          <w:tcPr>
            <w:tcW w:w="9016" w:type="dxa"/>
          </w:tcPr>
          <w:p w14:paraId="688206FE" w14:textId="360B4663" w:rsidR="007F1196" w:rsidRPr="003F3C2F" w:rsidRDefault="007F1196" w:rsidP="00C4387B">
            <w:pPr>
              <w:spacing w:line="276" w:lineRule="auto"/>
              <w:jc w:val="both"/>
              <w:rPr>
                <w:sz w:val="24"/>
                <w:szCs w:val="24"/>
              </w:rPr>
            </w:pPr>
            <w:r w:rsidRPr="003F3C2F">
              <w:rPr>
                <w:sz w:val="22"/>
                <w:szCs w:val="22"/>
              </w:rPr>
              <w:t>Agriculture contributes approximately 38% to Liberia’s GDP and employs nearly 70% of the population, making it highly sensitive to changing climate patterns. According to the Climate Vulnerability Risk Assessment (CVRA), rising temperatures, unpredictable rainfall, and extreme weather events threaten crop yields, livestock health, and food security (EPA, 2021).</w:t>
            </w:r>
            <w:r w:rsidR="00C4387B" w:rsidRPr="003F3C2F">
              <w:rPr>
                <w:sz w:val="22"/>
                <w:szCs w:val="22"/>
              </w:rPr>
              <w:t xml:space="preserve"> </w:t>
            </w:r>
            <w:r w:rsidRPr="003F3C2F">
              <w:rPr>
                <w:sz w:val="22"/>
                <w:szCs w:val="22"/>
              </w:rPr>
              <w:t>The targets include:</w:t>
            </w:r>
          </w:p>
          <w:p w14:paraId="13FC1B4B" w14:textId="6D70A88B" w:rsidR="007F1196" w:rsidRPr="003F3C2F" w:rsidRDefault="007F1196"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Establish 100 farmer field schools and train at least 5,000 farmers to implement conservation agriculture, soil carbon sequestration methods, and low-emissions livestock systems by 2028.</w:t>
            </w:r>
          </w:p>
          <w:p w14:paraId="378336DB" w14:textId="0AEEABA1"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By 2023, develop facilities and climate smart technologies to promote postharvest and value addition practices, including establishment of 5 seed/gene banks and improved storage facilities for agricultural products, based on Liberia’s five agricultural regions, by 2028.</w:t>
            </w:r>
          </w:p>
          <w:p w14:paraId="75E4C486" w14:textId="7AB61CFE" w:rsidR="007F1196"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By 2030, provide support for crop and livestock diversification, climate resilient seeds, Integrated Pest Management (IPM), water harvesting, irrigation systems, increased soil fertility;</w:t>
            </w:r>
          </w:p>
        </w:tc>
      </w:tr>
      <w:tr w:rsidR="007F1196" w:rsidRPr="003F3C2F" w14:paraId="06FD3CB9" w14:textId="77777777" w:rsidTr="00C4387B">
        <w:tc>
          <w:tcPr>
            <w:tcW w:w="9016" w:type="dxa"/>
            <w:shd w:val="clear" w:color="auto" w:fill="DBE5F1" w:themeFill="accent1" w:themeFillTint="33"/>
          </w:tcPr>
          <w:p w14:paraId="0F9CA1F0" w14:textId="5086E0E3" w:rsidR="007F1196" w:rsidRPr="003F3C2F" w:rsidRDefault="00C4387B" w:rsidP="00C4387B">
            <w:pPr>
              <w:pStyle w:val="BodyText"/>
              <w:spacing w:after="0"/>
              <w:ind w:left="0"/>
              <w:jc w:val="center"/>
              <w:rPr>
                <w:rFonts w:ascii="Times New Roman" w:hAnsi="Times New Roman"/>
                <w:sz w:val="22"/>
                <w:szCs w:val="22"/>
              </w:rPr>
            </w:pPr>
            <w:r w:rsidRPr="003F3C2F">
              <w:rPr>
                <w:rFonts w:ascii="Times New Roman" w:hAnsi="Times New Roman"/>
                <w:b/>
                <w:bCs/>
                <w:color w:val="000000" w:themeColor="text1"/>
                <w:sz w:val="22"/>
                <w:szCs w:val="22"/>
              </w:rPr>
              <w:t>Mitigation Actions and Policy Measures</w:t>
            </w:r>
          </w:p>
        </w:tc>
      </w:tr>
      <w:tr w:rsidR="007F1196" w:rsidRPr="003F3C2F" w14:paraId="2E016EA1" w14:textId="77777777" w:rsidTr="007F1196">
        <w:tc>
          <w:tcPr>
            <w:tcW w:w="9016" w:type="dxa"/>
          </w:tcPr>
          <w:p w14:paraId="18B1CCDB" w14:textId="64833C5B" w:rsidR="00C4387B" w:rsidRPr="003F3C2F" w:rsidRDefault="00C4387B" w:rsidP="00C4387B">
            <w:pPr>
              <w:overflowPunct/>
              <w:autoSpaceDE/>
              <w:autoSpaceDN/>
              <w:adjustRightInd/>
              <w:spacing w:line="276" w:lineRule="auto"/>
              <w:jc w:val="both"/>
              <w:textAlignment w:val="auto"/>
              <w:rPr>
                <w:sz w:val="22"/>
                <w:szCs w:val="22"/>
                <w:lang/>
              </w:rPr>
            </w:pPr>
            <w:bookmarkStart w:id="52" w:name="OLE_LINK14"/>
            <w:r w:rsidRPr="003F3C2F">
              <w:rPr>
                <w:sz w:val="22"/>
                <w:szCs w:val="22"/>
              </w:rPr>
              <w:t>The following actions and policy measures shall be taken to meet the targets:</w:t>
            </w:r>
          </w:p>
          <w:p w14:paraId="57EAC9BE" w14:textId="7C5309F4"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Deploy early warning systems and install 25 rainfall stations for communities by 2030.</w:t>
            </w:r>
            <w:bookmarkEnd w:id="52"/>
          </w:p>
          <w:p w14:paraId="5714F6EA" w14:textId="77777777"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Train at least 3 agricultural extension agents per district yearly to support implementation of conservation agriculture, soil carbon sequestration, and low-emissions livestock systems by 2028.</w:t>
            </w:r>
          </w:p>
          <w:p w14:paraId="5E7A1B26" w14:textId="77777777"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Train 150 agricultural extension agents per year to support implementation of climate-resilient agricultural and livestock practices;</w:t>
            </w:r>
          </w:p>
          <w:p w14:paraId="719BBDD3" w14:textId="147B9100"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 xml:space="preserve">Increase finance (public and private) for agriculture and livestock diversification by $3,000,000 dollars by 2028. </w:t>
            </w:r>
          </w:p>
          <w:p w14:paraId="60FBB85B" w14:textId="779AC884" w:rsidR="00C4387B"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Establish or strengthen crop and livestock insurance systems by 2027</w:t>
            </w:r>
          </w:p>
          <w:p w14:paraId="3C0F3217" w14:textId="7F966AB4" w:rsidR="007F1196" w:rsidRPr="003F3C2F" w:rsidRDefault="00C4387B" w:rsidP="00781F44">
            <w:pPr>
              <w:pStyle w:val="BodyText"/>
              <w:numPr>
                <w:ilvl w:val="0"/>
                <w:numId w:val="23"/>
              </w:numPr>
              <w:spacing w:after="0"/>
              <w:rPr>
                <w:rFonts w:ascii="Times New Roman" w:hAnsi="Times New Roman"/>
                <w:sz w:val="22"/>
                <w:szCs w:val="22"/>
              </w:rPr>
            </w:pPr>
            <w:r w:rsidRPr="003F3C2F">
              <w:rPr>
                <w:rFonts w:ascii="Times New Roman" w:hAnsi="Times New Roman"/>
                <w:sz w:val="22"/>
                <w:szCs w:val="22"/>
              </w:rPr>
              <w:t>Provide support and increase capacity of CARI (Central Agriculture Institute) focusing on new climate smart seed varieties and improving livestock breeding by 2030.</w:t>
            </w:r>
          </w:p>
        </w:tc>
      </w:tr>
      <w:tr w:rsidR="007F1196" w:rsidRPr="003F3C2F" w14:paraId="30C37D2D" w14:textId="77777777" w:rsidTr="00752A61">
        <w:tc>
          <w:tcPr>
            <w:tcW w:w="9016" w:type="dxa"/>
            <w:shd w:val="clear" w:color="auto" w:fill="126767"/>
          </w:tcPr>
          <w:p w14:paraId="07FDDAE7" w14:textId="24D7E22C" w:rsidR="007F1196" w:rsidRPr="003F3C2F" w:rsidRDefault="00752A61" w:rsidP="00752A61">
            <w:pPr>
              <w:pStyle w:val="BodyText"/>
              <w:spacing w:after="0"/>
              <w:ind w:left="0"/>
              <w:jc w:val="center"/>
              <w:rPr>
                <w:rFonts w:ascii="Times New Roman" w:hAnsi="Times New Roman"/>
                <w:b/>
                <w:bCs/>
                <w:color w:val="FFFFFF" w:themeColor="background1"/>
                <w:sz w:val="22"/>
                <w:szCs w:val="22"/>
              </w:rPr>
            </w:pPr>
            <w:r w:rsidRPr="003F3C2F">
              <w:rPr>
                <w:rFonts w:ascii="Times New Roman" w:hAnsi="Times New Roman"/>
                <w:b/>
                <w:bCs/>
                <w:color w:val="FFFFFF" w:themeColor="background1"/>
                <w:sz w:val="22"/>
                <w:szCs w:val="22"/>
              </w:rPr>
              <w:t>Coastal Zones</w:t>
            </w:r>
          </w:p>
        </w:tc>
      </w:tr>
      <w:tr w:rsidR="00C4387B" w:rsidRPr="003F3C2F" w14:paraId="7423C73C" w14:textId="77777777" w:rsidTr="00752A61">
        <w:tc>
          <w:tcPr>
            <w:tcW w:w="9016" w:type="dxa"/>
            <w:shd w:val="clear" w:color="auto" w:fill="DBE5F1" w:themeFill="accent1" w:themeFillTint="33"/>
          </w:tcPr>
          <w:p w14:paraId="69C98C99" w14:textId="580154D8" w:rsidR="00C4387B" w:rsidRPr="003F3C2F" w:rsidRDefault="00752A61" w:rsidP="00752A61">
            <w:pPr>
              <w:pStyle w:val="BodyText"/>
              <w:spacing w:after="0"/>
              <w:ind w:left="0"/>
              <w:jc w:val="center"/>
              <w:rPr>
                <w:rFonts w:ascii="Times New Roman" w:hAnsi="Times New Roman"/>
                <w:b/>
                <w:bCs/>
                <w:color w:val="FFFFFF" w:themeColor="background1"/>
                <w:sz w:val="22"/>
                <w:szCs w:val="22"/>
              </w:rPr>
            </w:pPr>
            <w:r w:rsidRPr="003F3C2F">
              <w:rPr>
                <w:rFonts w:ascii="Times New Roman" w:hAnsi="Times New Roman"/>
                <w:b/>
                <w:bCs/>
                <w:color w:val="000000" w:themeColor="text1"/>
                <w:sz w:val="22"/>
                <w:szCs w:val="22"/>
              </w:rPr>
              <w:t>Adaptation Targets</w:t>
            </w:r>
          </w:p>
        </w:tc>
      </w:tr>
      <w:tr w:rsidR="00C4387B" w:rsidRPr="003F3C2F" w14:paraId="607E33CC" w14:textId="77777777" w:rsidTr="007F1196">
        <w:tc>
          <w:tcPr>
            <w:tcW w:w="9016" w:type="dxa"/>
          </w:tcPr>
          <w:p w14:paraId="3939C373" w14:textId="780BEC9D" w:rsidR="00130469" w:rsidRPr="003F3C2F" w:rsidRDefault="00752A61" w:rsidP="00FB78E3">
            <w:pPr>
              <w:spacing w:line="276" w:lineRule="auto"/>
              <w:jc w:val="both"/>
              <w:rPr>
                <w:sz w:val="22"/>
                <w:szCs w:val="22"/>
              </w:rPr>
            </w:pPr>
            <w:r w:rsidRPr="003F3C2F">
              <w:rPr>
                <w:sz w:val="22"/>
                <w:szCs w:val="22"/>
              </w:rPr>
              <w:t>Liberia’s 580-km coastline is highly vulnerable to sea-level rise, coastal erosion, and storm surges, especially in urban centers like Monrovia and Buchanan. The Climate Vulnerability Risk Assessment- CVRA indicates that 60% of Liberia’s population resides within 50 km of the coast, where infrastructure, livelihoods, and ecosystems are at risk (EPA, 2021).</w:t>
            </w:r>
            <w:r w:rsidR="0096213B" w:rsidRPr="003F3C2F">
              <w:rPr>
                <w:sz w:val="22"/>
                <w:szCs w:val="22"/>
              </w:rPr>
              <w:t xml:space="preserve"> The targets include:</w:t>
            </w:r>
          </w:p>
          <w:p w14:paraId="04C3FAEF" w14:textId="77777777" w:rsidR="00130469" w:rsidRPr="003F3C2F" w:rsidRDefault="00130469" w:rsidP="00FB78E3">
            <w:pPr>
              <w:pStyle w:val="BodyText"/>
              <w:rPr>
                <w:rFonts w:ascii="Times New Roman" w:hAnsi="Times New Roman"/>
                <w:sz w:val="4"/>
                <w:szCs w:val="4"/>
              </w:rPr>
            </w:pPr>
          </w:p>
          <w:p w14:paraId="560940A8" w14:textId="77777777" w:rsidR="0096213B" w:rsidRPr="003F3C2F" w:rsidRDefault="0096213B" w:rsidP="00781F44">
            <w:pPr>
              <w:numPr>
                <w:ilvl w:val="0"/>
                <w:numId w:val="14"/>
              </w:numPr>
              <w:overflowPunct/>
              <w:autoSpaceDE/>
              <w:autoSpaceDN/>
              <w:adjustRightInd/>
              <w:spacing w:line="276" w:lineRule="auto"/>
              <w:jc w:val="both"/>
              <w:textAlignment w:val="auto"/>
              <w:rPr>
                <w:sz w:val="22"/>
                <w:szCs w:val="22"/>
              </w:rPr>
            </w:pPr>
            <w:r w:rsidRPr="003F3C2F">
              <w:rPr>
                <w:sz w:val="22"/>
                <w:szCs w:val="22"/>
              </w:rPr>
              <w:t xml:space="preserve">Design and implement green-gray infrastructure approaches along 60% of Liberia’s highly vulnerable coastline by 2030 (Link to Transport sector) </w:t>
            </w:r>
          </w:p>
          <w:p w14:paraId="3470A532" w14:textId="65F3A66B" w:rsidR="00C4387B" w:rsidRPr="003F3C2F" w:rsidRDefault="0096213B" w:rsidP="00781F44">
            <w:pPr>
              <w:numPr>
                <w:ilvl w:val="0"/>
                <w:numId w:val="14"/>
              </w:numPr>
              <w:overflowPunct/>
              <w:autoSpaceDE/>
              <w:autoSpaceDN/>
              <w:adjustRightInd/>
              <w:spacing w:line="276" w:lineRule="auto"/>
              <w:jc w:val="both"/>
              <w:textAlignment w:val="auto"/>
              <w:rPr>
                <w:sz w:val="22"/>
                <w:szCs w:val="22"/>
              </w:rPr>
            </w:pPr>
            <w:r w:rsidRPr="003F3C2F">
              <w:rPr>
                <w:sz w:val="22"/>
                <w:szCs w:val="22"/>
              </w:rPr>
              <w:t>Establish an early warning system and predictive scenario modelling for climate disasters and coastal flooding by 2030.</w:t>
            </w:r>
          </w:p>
        </w:tc>
      </w:tr>
      <w:tr w:rsidR="007F1196" w:rsidRPr="003F3C2F" w14:paraId="37DEF340" w14:textId="77777777" w:rsidTr="0096213B">
        <w:tc>
          <w:tcPr>
            <w:tcW w:w="9016" w:type="dxa"/>
            <w:shd w:val="clear" w:color="auto" w:fill="DBE5F1" w:themeFill="accent1" w:themeFillTint="33"/>
          </w:tcPr>
          <w:p w14:paraId="56A5F619" w14:textId="67421E4E" w:rsidR="007F1196" w:rsidRPr="003F3C2F" w:rsidRDefault="0096213B" w:rsidP="00FB78E3">
            <w:pPr>
              <w:pStyle w:val="Heading4"/>
              <w:numPr>
                <w:ilvl w:val="0"/>
                <w:numId w:val="0"/>
              </w:numPr>
              <w:spacing w:before="0" w:after="0" w:line="276" w:lineRule="auto"/>
              <w:jc w:val="center"/>
              <w:rPr>
                <w:i w:val="0"/>
                <w:iCs/>
                <w:sz w:val="22"/>
                <w:szCs w:val="22"/>
              </w:rPr>
            </w:pPr>
            <w:r w:rsidRPr="003F3C2F">
              <w:rPr>
                <w:bCs/>
                <w:i w:val="0"/>
                <w:iCs/>
                <w:color w:val="000000" w:themeColor="text1"/>
                <w:sz w:val="22"/>
                <w:szCs w:val="22"/>
              </w:rPr>
              <w:t>Mitigation Actions and Policy Measures</w:t>
            </w:r>
          </w:p>
        </w:tc>
      </w:tr>
      <w:tr w:rsidR="00752A61" w:rsidRPr="003F3C2F" w14:paraId="7E4C84F2" w14:textId="77777777" w:rsidTr="007F1196">
        <w:tc>
          <w:tcPr>
            <w:tcW w:w="9016" w:type="dxa"/>
          </w:tcPr>
          <w:p w14:paraId="3DE54C98" w14:textId="55FFE626" w:rsidR="0096213B" w:rsidRPr="003F3C2F" w:rsidRDefault="0096213B" w:rsidP="00FB78E3">
            <w:pPr>
              <w:overflowPunct/>
              <w:autoSpaceDE/>
              <w:autoSpaceDN/>
              <w:adjustRightInd/>
              <w:spacing w:line="276" w:lineRule="auto"/>
              <w:jc w:val="both"/>
              <w:textAlignment w:val="auto"/>
              <w:rPr>
                <w:sz w:val="22"/>
                <w:szCs w:val="22"/>
                <w:lang/>
              </w:rPr>
            </w:pPr>
            <w:r w:rsidRPr="003F3C2F">
              <w:rPr>
                <w:sz w:val="22"/>
                <w:szCs w:val="22"/>
              </w:rPr>
              <w:t>The following actions and policy measures shall be taken to meet the targets:</w:t>
            </w:r>
          </w:p>
          <w:p w14:paraId="658D28EE" w14:textId="2040F3A1" w:rsidR="0096213B" w:rsidRPr="003F3C2F" w:rsidRDefault="0096213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lastRenderedPageBreak/>
              <w:t>Invest in coastal zone monitoring equipment for data collection, research, and management purposes by 2030.</w:t>
            </w:r>
          </w:p>
          <w:p w14:paraId="0BD3B9C6" w14:textId="77777777" w:rsidR="00B813B4" w:rsidRPr="003F3C2F" w:rsidRDefault="00B813B4"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 xml:space="preserve">Restore degraded coastal wetlands and mangroves; designate marine &amp; coastal protected areas (2 MPA + 2 CPA) by 2030. </w:t>
            </w:r>
          </w:p>
          <w:p w14:paraId="4FF52D32" w14:textId="5F47766D" w:rsidR="00B813B4" w:rsidRPr="003F3C2F" w:rsidRDefault="00B813B4" w:rsidP="00781F44">
            <w:pPr>
              <w:numPr>
                <w:ilvl w:val="0"/>
                <w:numId w:val="27"/>
              </w:numPr>
              <w:overflowPunct/>
              <w:autoSpaceDE/>
              <w:autoSpaceDN/>
              <w:adjustRightInd/>
              <w:spacing w:line="276" w:lineRule="auto"/>
              <w:jc w:val="both"/>
              <w:textAlignment w:val="auto"/>
              <w:rPr>
                <w:sz w:val="24"/>
                <w:szCs w:val="24"/>
              </w:rPr>
            </w:pPr>
            <w:r w:rsidRPr="003F3C2F">
              <w:rPr>
                <w:sz w:val="24"/>
                <w:szCs w:val="24"/>
              </w:rPr>
              <w:t>Deploy early warning systems and predictive modelling for coastal flooding by 2030.</w:t>
            </w:r>
          </w:p>
          <w:p w14:paraId="05AE605A" w14:textId="02B39B72" w:rsidR="0096213B" w:rsidRPr="003F3C2F" w:rsidRDefault="0096213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Develop and support coastal and marine research, initiatives, and activities, and by 2023,  increase funding for research on adaptive coastal management solutions and access to research opportunities to 2 million annually.</w:t>
            </w:r>
          </w:p>
          <w:p w14:paraId="3FD0A43C" w14:textId="0D16E873" w:rsidR="0096213B" w:rsidRPr="003F3C2F" w:rsidRDefault="0096213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By 2026, develop a strategic communications plan to educate and disseminate adaptation actions via awareness programs, establishment of research &amp; innovation centers within coastal communities, development of multi-stakeholder platforms for information sharing with regular/timely updates etc.</w:t>
            </w:r>
          </w:p>
          <w:p w14:paraId="04D519D4" w14:textId="47FF67B1" w:rsidR="00752A61" w:rsidRPr="003F3C2F" w:rsidRDefault="0096213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From 2026, conduct at least 10 trainings per annum with coastal managers and communities on climate-related risks, adaptation solutions, adaptive coastal management practices, and climate-smart infrastructure development, with strategic messaging for communities about incentives and opportunities to enhance their resiliency to climate change at the household and community level.</w:t>
            </w:r>
          </w:p>
        </w:tc>
      </w:tr>
      <w:tr w:rsidR="00752A61" w:rsidRPr="003F3C2F" w14:paraId="0AA08410" w14:textId="77777777" w:rsidTr="00130469">
        <w:tc>
          <w:tcPr>
            <w:tcW w:w="9016" w:type="dxa"/>
            <w:shd w:val="clear" w:color="auto" w:fill="126767"/>
          </w:tcPr>
          <w:p w14:paraId="32E808A6" w14:textId="0067314F" w:rsidR="00752A61" w:rsidRPr="003F3C2F" w:rsidRDefault="00130469" w:rsidP="00130469">
            <w:pPr>
              <w:pStyle w:val="BodyText"/>
              <w:spacing w:after="0"/>
              <w:ind w:left="0"/>
              <w:jc w:val="center"/>
              <w:rPr>
                <w:rFonts w:ascii="Times New Roman" w:hAnsi="Times New Roman"/>
                <w:sz w:val="22"/>
                <w:szCs w:val="22"/>
              </w:rPr>
            </w:pPr>
            <w:r w:rsidRPr="003F3C2F">
              <w:rPr>
                <w:rFonts w:ascii="Times New Roman" w:hAnsi="Times New Roman"/>
                <w:b/>
                <w:bCs/>
                <w:color w:val="FFFFFF" w:themeColor="background1"/>
                <w:sz w:val="22"/>
                <w:szCs w:val="22"/>
              </w:rPr>
              <w:lastRenderedPageBreak/>
              <w:t>Energy</w:t>
            </w:r>
          </w:p>
        </w:tc>
      </w:tr>
      <w:tr w:rsidR="00752A61" w:rsidRPr="003F3C2F" w14:paraId="1EEA5AF2" w14:textId="77777777" w:rsidTr="00130469">
        <w:tc>
          <w:tcPr>
            <w:tcW w:w="9016" w:type="dxa"/>
            <w:shd w:val="clear" w:color="auto" w:fill="DBE5F1" w:themeFill="accent1" w:themeFillTint="33"/>
          </w:tcPr>
          <w:p w14:paraId="00D5A367" w14:textId="2C3C066D" w:rsidR="00752A61" w:rsidRPr="003F3C2F" w:rsidRDefault="00130469" w:rsidP="00130469">
            <w:pPr>
              <w:pStyle w:val="BodyText"/>
              <w:spacing w:after="0"/>
              <w:ind w:left="0"/>
              <w:jc w:val="center"/>
              <w:rPr>
                <w:rFonts w:ascii="Times New Roman" w:hAnsi="Times New Roman"/>
                <w:sz w:val="22"/>
                <w:szCs w:val="22"/>
              </w:rPr>
            </w:pPr>
            <w:r w:rsidRPr="003F3C2F">
              <w:rPr>
                <w:rFonts w:ascii="Times New Roman" w:hAnsi="Times New Roman"/>
                <w:b/>
                <w:bCs/>
                <w:color w:val="000000" w:themeColor="text1"/>
                <w:sz w:val="22"/>
                <w:szCs w:val="22"/>
              </w:rPr>
              <w:t>Adaptation Targets</w:t>
            </w:r>
          </w:p>
        </w:tc>
      </w:tr>
      <w:tr w:rsidR="00752A61" w:rsidRPr="003F3C2F" w14:paraId="619B9063" w14:textId="77777777" w:rsidTr="007F1196">
        <w:tc>
          <w:tcPr>
            <w:tcW w:w="9016" w:type="dxa"/>
          </w:tcPr>
          <w:p w14:paraId="5E041308" w14:textId="2106ED90" w:rsidR="00130469" w:rsidRPr="003F3C2F" w:rsidRDefault="00130469" w:rsidP="00130469">
            <w:pPr>
              <w:spacing w:line="276" w:lineRule="auto"/>
              <w:jc w:val="both"/>
              <w:rPr>
                <w:sz w:val="22"/>
                <w:szCs w:val="22"/>
              </w:rPr>
            </w:pPr>
            <w:r w:rsidRPr="003F3C2F">
              <w:rPr>
                <w:sz w:val="22"/>
                <w:szCs w:val="22"/>
              </w:rPr>
              <w:t>Liberia's energy sector, primarily reliant on hydropower and biomass, is susceptible to climate-induced changes in water availability and forest degradation. Hydropower generation, particularly from the Mount Coffee Hydro Plant, faces risks from changing rainfall patterns. The targets include:</w:t>
            </w:r>
          </w:p>
          <w:p w14:paraId="2D1FA41D" w14:textId="77777777" w:rsidR="00FB78E3"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Diversify the energy matrix to provide a more resilient system under climate variability.</w:t>
            </w:r>
          </w:p>
          <w:p w14:paraId="5FF3F7E5" w14:textId="10ADC3E5" w:rsidR="00FB78E3"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By 2026, conduct risk mapping of climate stress vulnerability of energy infrastructure – future investment should be guided by such risk mapping;</w:t>
            </w:r>
          </w:p>
          <w:p w14:paraId="54D059F0" w14:textId="3A1FFCE4" w:rsidR="00FB78E3"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 xml:space="preserve">By 2027, ensure that secondary reservoirs are developed at major hydro dams reducing the risk of limited waterflow during the dried season thereby ensuring constant and sufficient water supply. </w:t>
            </w:r>
          </w:p>
          <w:p w14:paraId="7DDB5011" w14:textId="77777777" w:rsidR="00752A61" w:rsidRPr="003F3C2F" w:rsidRDefault="00752A61" w:rsidP="007F1196">
            <w:pPr>
              <w:pStyle w:val="Heading4"/>
              <w:numPr>
                <w:ilvl w:val="0"/>
                <w:numId w:val="0"/>
              </w:numPr>
              <w:spacing w:before="0" w:after="0" w:line="240" w:lineRule="auto"/>
              <w:rPr>
                <w:sz w:val="22"/>
                <w:szCs w:val="22"/>
              </w:rPr>
            </w:pPr>
          </w:p>
        </w:tc>
      </w:tr>
      <w:tr w:rsidR="00130469" w:rsidRPr="003F3C2F" w14:paraId="5278CDB8" w14:textId="77777777" w:rsidTr="00FB78E3">
        <w:tc>
          <w:tcPr>
            <w:tcW w:w="9016" w:type="dxa"/>
            <w:shd w:val="clear" w:color="auto" w:fill="DBE5F1" w:themeFill="accent1" w:themeFillTint="33"/>
          </w:tcPr>
          <w:p w14:paraId="2EECEE25" w14:textId="5B8C0232" w:rsidR="00130469" w:rsidRPr="003F3C2F" w:rsidRDefault="00130469" w:rsidP="00130469">
            <w:pPr>
              <w:pStyle w:val="Heading4"/>
              <w:numPr>
                <w:ilvl w:val="0"/>
                <w:numId w:val="0"/>
              </w:numPr>
              <w:spacing w:before="0" w:after="0" w:line="240" w:lineRule="auto"/>
              <w:jc w:val="center"/>
              <w:rPr>
                <w:sz w:val="22"/>
                <w:szCs w:val="22"/>
              </w:rPr>
            </w:pPr>
            <w:r w:rsidRPr="003F3C2F">
              <w:rPr>
                <w:bCs/>
                <w:i w:val="0"/>
                <w:iCs/>
                <w:color w:val="000000" w:themeColor="text1"/>
                <w:sz w:val="22"/>
                <w:szCs w:val="22"/>
              </w:rPr>
              <w:t>Mitigation Actions and Policy Measures</w:t>
            </w:r>
          </w:p>
        </w:tc>
      </w:tr>
      <w:tr w:rsidR="00130469" w:rsidRPr="003F3C2F" w14:paraId="2017379B" w14:textId="77777777" w:rsidTr="007F1196">
        <w:tc>
          <w:tcPr>
            <w:tcW w:w="9016" w:type="dxa"/>
          </w:tcPr>
          <w:p w14:paraId="41A3D049" w14:textId="77777777" w:rsidR="00FB78E3" w:rsidRPr="003F3C2F" w:rsidRDefault="00FB78E3" w:rsidP="00FB78E3">
            <w:pPr>
              <w:overflowPunct/>
              <w:autoSpaceDE/>
              <w:autoSpaceDN/>
              <w:adjustRightInd/>
              <w:spacing w:line="276" w:lineRule="auto"/>
              <w:jc w:val="both"/>
              <w:textAlignment w:val="auto"/>
              <w:rPr>
                <w:sz w:val="22"/>
                <w:szCs w:val="22"/>
                <w:lang/>
              </w:rPr>
            </w:pPr>
            <w:r w:rsidRPr="003F3C2F">
              <w:rPr>
                <w:sz w:val="22"/>
                <w:szCs w:val="22"/>
              </w:rPr>
              <w:t>The following actions and policy measures shall be taken to meet the targets:</w:t>
            </w:r>
          </w:p>
          <w:p w14:paraId="5998F4AF" w14:textId="77777777" w:rsidR="00FB78E3"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 xml:space="preserve">Maximize the opportunities that energy access offers in improving livelihoods and diversifying income sources. </w:t>
            </w:r>
          </w:p>
          <w:p w14:paraId="05BBBD9F" w14:textId="4BBB2F57" w:rsidR="00FB78E3"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By 2027, support the implementation of a full de-regulation of the electricity sector (into independent transmission, distribution, and generator subsectors) with accurate costs, and tariffs.</w:t>
            </w:r>
          </w:p>
          <w:p w14:paraId="11024B80" w14:textId="7D368598" w:rsidR="00130469" w:rsidRPr="003F3C2F" w:rsidRDefault="00FB78E3"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Improve the adaptation are capacity of the most vulnerable considering access to reliable and affordable electricity provides social and economic development.</w:t>
            </w:r>
          </w:p>
        </w:tc>
      </w:tr>
      <w:tr w:rsidR="00130469" w:rsidRPr="003F3C2F" w14:paraId="213B4F4E" w14:textId="77777777" w:rsidTr="00305B69">
        <w:tc>
          <w:tcPr>
            <w:tcW w:w="9016" w:type="dxa"/>
            <w:shd w:val="clear" w:color="auto" w:fill="126767"/>
          </w:tcPr>
          <w:p w14:paraId="1C41BEA4" w14:textId="5BFD6DEF" w:rsidR="00130469" w:rsidRPr="003F3C2F" w:rsidRDefault="00305B69" w:rsidP="00305B69">
            <w:pPr>
              <w:pStyle w:val="BodyText"/>
              <w:spacing w:after="0"/>
              <w:ind w:left="0"/>
              <w:jc w:val="center"/>
              <w:rPr>
                <w:rFonts w:ascii="Times New Roman" w:hAnsi="Times New Roman"/>
                <w:sz w:val="22"/>
                <w:szCs w:val="22"/>
              </w:rPr>
            </w:pPr>
            <w:r w:rsidRPr="003F3C2F">
              <w:rPr>
                <w:rFonts w:ascii="Times New Roman" w:hAnsi="Times New Roman"/>
                <w:b/>
                <w:bCs/>
                <w:color w:val="FFFFFF" w:themeColor="background1"/>
                <w:sz w:val="22"/>
                <w:szCs w:val="22"/>
              </w:rPr>
              <w:t>Forestry</w:t>
            </w:r>
          </w:p>
        </w:tc>
      </w:tr>
      <w:tr w:rsidR="00130469" w:rsidRPr="003F3C2F" w14:paraId="363B839D" w14:textId="77777777" w:rsidTr="00305B69">
        <w:tc>
          <w:tcPr>
            <w:tcW w:w="9016" w:type="dxa"/>
            <w:shd w:val="clear" w:color="auto" w:fill="DBE5F1" w:themeFill="accent1" w:themeFillTint="33"/>
          </w:tcPr>
          <w:p w14:paraId="6DA6E210" w14:textId="6D6DB73A" w:rsidR="00130469" w:rsidRPr="003F3C2F" w:rsidRDefault="00305B69" w:rsidP="00305B69">
            <w:pPr>
              <w:pStyle w:val="Heading4"/>
              <w:numPr>
                <w:ilvl w:val="0"/>
                <w:numId w:val="0"/>
              </w:numPr>
              <w:spacing w:before="0" w:after="0" w:line="240" w:lineRule="auto"/>
              <w:jc w:val="center"/>
              <w:rPr>
                <w:sz w:val="22"/>
                <w:szCs w:val="22"/>
              </w:rPr>
            </w:pPr>
            <w:r w:rsidRPr="003F3C2F">
              <w:rPr>
                <w:bCs/>
                <w:i w:val="0"/>
                <w:iCs/>
                <w:color w:val="000000" w:themeColor="text1"/>
                <w:sz w:val="22"/>
                <w:szCs w:val="22"/>
              </w:rPr>
              <w:t>Adaptation Targets</w:t>
            </w:r>
          </w:p>
        </w:tc>
      </w:tr>
      <w:tr w:rsidR="00130469" w:rsidRPr="003F3C2F" w14:paraId="257B0F75" w14:textId="77777777" w:rsidTr="007F1196">
        <w:tc>
          <w:tcPr>
            <w:tcW w:w="9016" w:type="dxa"/>
          </w:tcPr>
          <w:p w14:paraId="36EA73E6" w14:textId="2F6F402E" w:rsidR="00385DCB" w:rsidRPr="003F3C2F" w:rsidRDefault="00385DCB" w:rsidP="00385DCB">
            <w:pPr>
              <w:spacing w:line="276" w:lineRule="auto"/>
              <w:jc w:val="both"/>
              <w:rPr>
                <w:sz w:val="22"/>
                <w:szCs w:val="22"/>
              </w:rPr>
            </w:pPr>
            <w:r w:rsidRPr="003F3C2F">
              <w:rPr>
                <w:sz w:val="22"/>
                <w:szCs w:val="22"/>
              </w:rPr>
              <w:t>Forests cover about 68% of Liberia’s land area and are central to both climate mitigation and adaptation. However, climate change, along with unsustainable logging and shifting agriculture, threatens forest ecosystems and biodiversity. The targets include:</w:t>
            </w:r>
          </w:p>
          <w:p w14:paraId="15E81190" w14:textId="77FFB1D2" w:rsidR="00385DCB" w:rsidRPr="003F3C2F" w:rsidRDefault="00385DC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lastRenderedPageBreak/>
              <w:t>By 2027, catalogue 100% of water catchments in forest areas, with 50% of these under sustainable management plans.</w:t>
            </w:r>
          </w:p>
          <w:p w14:paraId="0EEB745B" w14:textId="1FDEBBC3" w:rsidR="00385DCB" w:rsidRPr="003F3C2F" w:rsidRDefault="00385DCB" w:rsidP="00781F44">
            <w:pPr>
              <w:pStyle w:val="NoSpacing"/>
              <w:numPr>
                <w:ilvl w:val="0"/>
                <w:numId w:val="27"/>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Develop alternative livelihoods programs with forest dependent people in 5 forested counties to ensure a just transition from forest extractive models for local communities, including development of models and markets for non-timber forest products and for sustainable eco-tourism by 2030.</w:t>
            </w:r>
          </w:p>
          <w:p w14:paraId="11AC9920" w14:textId="77777777" w:rsidR="00130469" w:rsidRPr="003F3C2F" w:rsidRDefault="00130469" w:rsidP="007F1196">
            <w:pPr>
              <w:pStyle w:val="Heading4"/>
              <w:numPr>
                <w:ilvl w:val="0"/>
                <w:numId w:val="0"/>
              </w:numPr>
              <w:spacing w:before="0" w:after="0" w:line="240" w:lineRule="auto"/>
              <w:rPr>
                <w:sz w:val="22"/>
                <w:szCs w:val="22"/>
              </w:rPr>
            </w:pPr>
          </w:p>
        </w:tc>
      </w:tr>
      <w:tr w:rsidR="00305B69" w:rsidRPr="003F3C2F" w14:paraId="218234B0" w14:textId="77777777" w:rsidTr="00305B69">
        <w:tc>
          <w:tcPr>
            <w:tcW w:w="9016" w:type="dxa"/>
            <w:shd w:val="clear" w:color="auto" w:fill="DBE5F1" w:themeFill="accent1" w:themeFillTint="33"/>
          </w:tcPr>
          <w:p w14:paraId="3472570C" w14:textId="081BCC4E" w:rsidR="00305B69" w:rsidRPr="003F3C2F" w:rsidRDefault="00305B69" w:rsidP="00305B69">
            <w:pPr>
              <w:pStyle w:val="Heading4"/>
              <w:numPr>
                <w:ilvl w:val="0"/>
                <w:numId w:val="0"/>
              </w:numPr>
              <w:spacing w:before="0" w:after="0" w:line="240" w:lineRule="auto"/>
              <w:jc w:val="center"/>
              <w:rPr>
                <w:sz w:val="22"/>
                <w:szCs w:val="22"/>
              </w:rPr>
            </w:pPr>
            <w:r w:rsidRPr="003F3C2F">
              <w:rPr>
                <w:bCs/>
                <w:i w:val="0"/>
                <w:iCs/>
                <w:color w:val="000000" w:themeColor="text1"/>
                <w:sz w:val="22"/>
                <w:szCs w:val="22"/>
              </w:rPr>
              <w:lastRenderedPageBreak/>
              <w:t>Mitigation Actions and Policy Measures</w:t>
            </w:r>
          </w:p>
        </w:tc>
      </w:tr>
      <w:tr w:rsidR="00305B69" w:rsidRPr="003F3C2F" w14:paraId="46C27D41" w14:textId="77777777" w:rsidTr="007F1196">
        <w:tc>
          <w:tcPr>
            <w:tcW w:w="9016" w:type="dxa"/>
          </w:tcPr>
          <w:p w14:paraId="02C97251" w14:textId="77777777" w:rsidR="00385DCB" w:rsidRPr="003F3C2F" w:rsidRDefault="00385DCB" w:rsidP="00A5249E">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1249D2EB" w14:textId="0E15E7A8" w:rsidR="00385DCB" w:rsidRPr="003F3C2F" w:rsidRDefault="00385DCB"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 xml:space="preserve">By 2028, increase funding (private and public) to at least </w:t>
            </w:r>
            <w:r w:rsidR="00A5249E" w:rsidRPr="003F3C2F">
              <w:rPr>
                <w:sz w:val="22"/>
                <w:szCs w:val="22"/>
                <w:lang w:val="en-US"/>
              </w:rPr>
              <w:t>US$300,000.00</w:t>
            </w:r>
            <w:r w:rsidRPr="003F3C2F">
              <w:rPr>
                <w:sz w:val="22"/>
                <w:szCs w:val="22"/>
                <w:lang w:val="en-US"/>
              </w:rPr>
              <w:t xml:space="preserve"> for research on adaptive forest management solutions</w:t>
            </w:r>
            <w:r w:rsidR="00A5249E" w:rsidRPr="003F3C2F">
              <w:rPr>
                <w:sz w:val="22"/>
                <w:szCs w:val="22"/>
                <w:lang w:val="en-US"/>
              </w:rPr>
              <w:t>.</w:t>
            </w:r>
          </w:p>
          <w:p w14:paraId="2E276623" w14:textId="2F342203" w:rsidR="00A5249E" w:rsidRPr="003F3C2F" w:rsidRDefault="00A5249E"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Incentivize and encourage sustainable fuelwood/charcoal production with alternative domestic energy options by 2027.</w:t>
            </w:r>
          </w:p>
          <w:p w14:paraId="4F3F7935" w14:textId="51E91A03" w:rsidR="00A5249E" w:rsidRPr="003F3C2F" w:rsidRDefault="00A5249E"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Design and implement, by 2027, a nationally harmonized effective and equitable benefit-sharing mechanism for forest communities.</w:t>
            </w:r>
          </w:p>
          <w:p w14:paraId="3A3357B7" w14:textId="297C3B9E" w:rsidR="00A5249E" w:rsidRPr="003F3C2F" w:rsidRDefault="00A5249E"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Develop an adaptive forestry management and conservation plan to prevent poaching, forest fire, land conversion, invasive species, and diseases, including training/capacity building by 2030.</w:t>
            </w:r>
          </w:p>
          <w:p w14:paraId="72ADB3F3" w14:textId="1652B628" w:rsidR="00A5249E" w:rsidRPr="003F3C2F" w:rsidRDefault="00A5249E"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Develop training, capacity building, and strategic communications plans, by 2028, for forestry authorities and forest communities to implement climate adaptation actions in the forest sector, especially by increasing support for education and training on climate risks and adaptation solutions for vulnerable groups</w:t>
            </w:r>
          </w:p>
          <w:p w14:paraId="28C46B01" w14:textId="2B155E28" w:rsidR="00385DCB" w:rsidRPr="003F3C2F" w:rsidRDefault="00A5249E" w:rsidP="00781F44">
            <w:pPr>
              <w:pStyle w:val="NoSpacing"/>
              <w:numPr>
                <w:ilvl w:val="0"/>
                <w:numId w:val="28"/>
              </w:numPr>
              <w:overflowPunct/>
              <w:autoSpaceDE/>
              <w:autoSpaceDN/>
              <w:adjustRightInd/>
              <w:spacing w:line="276" w:lineRule="auto"/>
              <w:jc w:val="both"/>
              <w:textAlignment w:val="auto"/>
              <w:rPr>
                <w:sz w:val="22"/>
                <w:szCs w:val="22"/>
                <w:lang w:val="en-US"/>
              </w:rPr>
            </w:pPr>
            <w:r w:rsidRPr="003F3C2F">
              <w:rPr>
                <w:sz w:val="22"/>
                <w:szCs w:val="22"/>
                <w:lang w:val="en-US"/>
              </w:rPr>
              <w:t>Conduct 20 trainings with forestry authorities and forest-dependent communities on climate-related risks, adaptation solutions and adaptive forest management practices, with strategic messaging for communities about incentives and opportunities to enhance their resiliency to climate change at the household and community level.</w:t>
            </w:r>
          </w:p>
          <w:p w14:paraId="2AD4F4DD" w14:textId="77777777" w:rsidR="00305B69" w:rsidRPr="003F3C2F" w:rsidRDefault="00305B69" w:rsidP="007F1196">
            <w:pPr>
              <w:pStyle w:val="Heading4"/>
              <w:numPr>
                <w:ilvl w:val="0"/>
                <w:numId w:val="0"/>
              </w:numPr>
              <w:spacing w:before="0" w:after="0" w:line="240" w:lineRule="auto"/>
              <w:rPr>
                <w:sz w:val="22"/>
                <w:szCs w:val="22"/>
              </w:rPr>
            </w:pPr>
          </w:p>
        </w:tc>
      </w:tr>
      <w:tr w:rsidR="00A5249E" w:rsidRPr="003F3C2F" w14:paraId="2EF7EAB6" w14:textId="77777777" w:rsidTr="00A5249E">
        <w:tc>
          <w:tcPr>
            <w:tcW w:w="9016" w:type="dxa"/>
            <w:shd w:val="clear" w:color="auto" w:fill="126767"/>
          </w:tcPr>
          <w:p w14:paraId="637F8AAD" w14:textId="1078843B" w:rsidR="00A5249E" w:rsidRPr="003F3C2F" w:rsidRDefault="005B0BA9" w:rsidP="00A5249E">
            <w:pPr>
              <w:overflowPunct/>
              <w:autoSpaceDE/>
              <w:autoSpaceDN/>
              <w:adjustRightInd/>
              <w:spacing w:line="276" w:lineRule="auto"/>
              <w:jc w:val="center"/>
              <w:textAlignment w:val="auto"/>
              <w:rPr>
                <w:sz w:val="22"/>
                <w:szCs w:val="22"/>
              </w:rPr>
            </w:pPr>
            <w:r w:rsidRPr="003F3C2F">
              <w:rPr>
                <w:b/>
                <w:bCs/>
                <w:color w:val="FFFFFF" w:themeColor="background1"/>
                <w:sz w:val="22"/>
                <w:szCs w:val="22"/>
              </w:rPr>
              <w:t>Health</w:t>
            </w:r>
          </w:p>
        </w:tc>
      </w:tr>
      <w:tr w:rsidR="00A5249E" w:rsidRPr="003F3C2F" w14:paraId="1E760B39" w14:textId="77777777" w:rsidTr="00A5249E">
        <w:tc>
          <w:tcPr>
            <w:tcW w:w="9016" w:type="dxa"/>
            <w:shd w:val="clear" w:color="auto" w:fill="DBE5F1" w:themeFill="accent1" w:themeFillTint="33"/>
          </w:tcPr>
          <w:p w14:paraId="0709CFD0" w14:textId="7BE3B3A1" w:rsidR="00A5249E" w:rsidRPr="003F3C2F" w:rsidRDefault="00A5249E" w:rsidP="00A5249E">
            <w:pPr>
              <w:overflowPunct/>
              <w:autoSpaceDE/>
              <w:autoSpaceDN/>
              <w:adjustRightInd/>
              <w:spacing w:line="276" w:lineRule="auto"/>
              <w:jc w:val="center"/>
              <w:textAlignment w:val="auto"/>
              <w:rPr>
                <w:b/>
                <w:sz w:val="22"/>
                <w:szCs w:val="22"/>
              </w:rPr>
            </w:pPr>
            <w:r w:rsidRPr="003F3C2F">
              <w:rPr>
                <w:b/>
                <w:color w:val="000000" w:themeColor="text1"/>
                <w:sz w:val="22"/>
                <w:szCs w:val="22"/>
              </w:rPr>
              <w:t>Adaptation Targets</w:t>
            </w:r>
          </w:p>
        </w:tc>
      </w:tr>
      <w:tr w:rsidR="00A5249E" w:rsidRPr="003F3C2F" w14:paraId="0A0A5487" w14:textId="77777777" w:rsidTr="007F1196">
        <w:tc>
          <w:tcPr>
            <w:tcW w:w="9016" w:type="dxa"/>
          </w:tcPr>
          <w:p w14:paraId="01018E1B" w14:textId="3DDDF27F" w:rsidR="005B0BA9" w:rsidRPr="003F3C2F" w:rsidRDefault="005B0BA9" w:rsidP="005B0BA9">
            <w:pPr>
              <w:spacing w:line="276" w:lineRule="auto"/>
              <w:jc w:val="both"/>
              <w:rPr>
                <w:sz w:val="22"/>
                <w:szCs w:val="22"/>
              </w:rPr>
            </w:pPr>
            <w:r w:rsidRPr="003F3C2F">
              <w:rPr>
                <w:sz w:val="22"/>
                <w:szCs w:val="22"/>
              </w:rPr>
              <w:t>Liberia’s health system is vulnerable to climate-induced diseases such as malaria, cholera, and respiratory infections. Flooding and heat stress exacerbate public health risks, particularly for children and the elderly (WHO &amp; EPA, 2021). The targets include:</w:t>
            </w:r>
          </w:p>
          <w:p w14:paraId="1B9254D5" w14:textId="77777777" w:rsidR="005B0BA9" w:rsidRPr="003F3C2F" w:rsidRDefault="005B0BA9" w:rsidP="00781F44">
            <w:pPr>
              <w:numPr>
                <w:ilvl w:val="0"/>
                <w:numId w:val="14"/>
              </w:numPr>
              <w:overflowPunct/>
              <w:autoSpaceDE/>
              <w:autoSpaceDN/>
              <w:adjustRightInd/>
              <w:spacing w:line="276" w:lineRule="auto"/>
              <w:jc w:val="both"/>
              <w:textAlignment w:val="auto"/>
              <w:rPr>
                <w:sz w:val="22"/>
                <w:szCs w:val="22"/>
              </w:rPr>
            </w:pPr>
            <w:r w:rsidRPr="003F3C2F">
              <w:rPr>
                <w:sz w:val="22"/>
                <w:szCs w:val="22"/>
              </w:rPr>
              <w:t>By 2030, ensure the availability of 40% of health facilities with climate-resilient WASH (flood-proof toilets, backup water) while 100 schools reached with climate-resilient WASH awareness campaigns.</w:t>
            </w:r>
          </w:p>
          <w:p w14:paraId="57CD209B" w14:textId="6BF99BDE" w:rsidR="005B0BA9" w:rsidRPr="003F3C2F" w:rsidRDefault="005B0BA9" w:rsidP="00781F44">
            <w:pPr>
              <w:numPr>
                <w:ilvl w:val="0"/>
                <w:numId w:val="14"/>
              </w:numPr>
              <w:overflowPunct/>
              <w:autoSpaceDE/>
              <w:autoSpaceDN/>
              <w:adjustRightInd/>
              <w:spacing w:line="276" w:lineRule="auto"/>
              <w:jc w:val="both"/>
              <w:textAlignment w:val="auto"/>
              <w:rPr>
                <w:sz w:val="22"/>
                <w:szCs w:val="22"/>
              </w:rPr>
            </w:pPr>
            <w:r w:rsidRPr="003F3C2F">
              <w:rPr>
                <w:sz w:val="22"/>
                <w:szCs w:val="22"/>
              </w:rPr>
              <w:t xml:space="preserve">30% urban/peri-urban populations use flood-resilient sanitation by 2026; </w:t>
            </w:r>
          </w:p>
          <w:p w14:paraId="7368C11B" w14:textId="77777777" w:rsidR="005B0BA9" w:rsidRPr="003F3C2F" w:rsidRDefault="005B0BA9" w:rsidP="00781F44">
            <w:pPr>
              <w:numPr>
                <w:ilvl w:val="0"/>
                <w:numId w:val="14"/>
              </w:numPr>
              <w:overflowPunct/>
              <w:autoSpaceDE/>
              <w:autoSpaceDN/>
              <w:adjustRightInd/>
              <w:spacing w:line="276" w:lineRule="auto"/>
              <w:jc w:val="both"/>
              <w:textAlignment w:val="auto"/>
              <w:rPr>
                <w:sz w:val="22"/>
                <w:szCs w:val="22"/>
              </w:rPr>
            </w:pPr>
            <w:r w:rsidRPr="003F3C2F">
              <w:rPr>
                <w:sz w:val="22"/>
                <w:szCs w:val="22"/>
              </w:rPr>
              <w:t xml:space="preserve">Construct 50 climate-smart water systems and co-develop and pilot multi-hazard early warning system in vulnerable communities; </w:t>
            </w:r>
          </w:p>
          <w:p w14:paraId="16D0320D" w14:textId="77777777" w:rsidR="005B0BA9" w:rsidRPr="003F3C2F" w:rsidRDefault="005B0BA9" w:rsidP="00781F44">
            <w:pPr>
              <w:pStyle w:val="NoSpacing"/>
              <w:numPr>
                <w:ilvl w:val="0"/>
                <w:numId w:val="14"/>
              </w:numPr>
              <w:tabs>
                <w:tab w:val="clear" w:pos="720"/>
              </w:tabs>
              <w:overflowPunct/>
              <w:autoSpaceDE/>
              <w:autoSpaceDN/>
              <w:adjustRightInd/>
              <w:jc w:val="both"/>
              <w:textAlignment w:val="auto"/>
              <w:rPr>
                <w:rFonts w:eastAsia="Courier New"/>
                <w:sz w:val="22"/>
                <w:szCs w:val="22"/>
                <w:lang w:val="en-US"/>
              </w:rPr>
            </w:pPr>
            <w:r w:rsidRPr="003F3C2F">
              <w:rPr>
                <w:rFonts w:eastAsia="Courier New"/>
                <w:sz w:val="22"/>
                <w:szCs w:val="22"/>
                <w:lang w:val="en-US"/>
              </w:rPr>
              <w:t xml:space="preserve">Ensure that 80% of the rural population is within 5km of health service points by 2030. </w:t>
            </w:r>
          </w:p>
          <w:p w14:paraId="66CAB839" w14:textId="1A5E20DB" w:rsidR="00A5249E" w:rsidRPr="003F3C2F" w:rsidRDefault="005B0BA9" w:rsidP="00781F44">
            <w:pPr>
              <w:pStyle w:val="NoSpacing"/>
              <w:numPr>
                <w:ilvl w:val="0"/>
                <w:numId w:val="14"/>
              </w:numPr>
              <w:tabs>
                <w:tab w:val="clear" w:pos="720"/>
              </w:tabs>
              <w:overflowPunct/>
              <w:autoSpaceDE/>
              <w:autoSpaceDN/>
              <w:adjustRightInd/>
              <w:jc w:val="both"/>
              <w:textAlignment w:val="auto"/>
              <w:rPr>
                <w:rFonts w:eastAsia="Courier New"/>
                <w:sz w:val="22"/>
                <w:szCs w:val="22"/>
                <w:lang w:val="en-US"/>
              </w:rPr>
            </w:pPr>
            <w:r w:rsidRPr="003F3C2F">
              <w:rPr>
                <w:rFonts w:eastAsia="Courier New"/>
                <w:sz w:val="22"/>
                <w:szCs w:val="22"/>
                <w:lang w:val="en-US"/>
              </w:rPr>
              <w:t xml:space="preserve">Provide climate-resilient power-sources for every health care facilities as well as emergency equipment and modalities by 2030. </w:t>
            </w:r>
          </w:p>
        </w:tc>
      </w:tr>
      <w:tr w:rsidR="00A5249E" w:rsidRPr="003F3C2F" w14:paraId="4B120373" w14:textId="77777777" w:rsidTr="00A5249E">
        <w:tc>
          <w:tcPr>
            <w:tcW w:w="9016" w:type="dxa"/>
            <w:shd w:val="clear" w:color="auto" w:fill="DBE5F1" w:themeFill="accent1" w:themeFillTint="33"/>
          </w:tcPr>
          <w:p w14:paraId="6B44D7A7" w14:textId="4157CE5B" w:rsidR="00A5249E" w:rsidRPr="003F3C2F" w:rsidRDefault="00A5249E" w:rsidP="00A5249E">
            <w:pPr>
              <w:overflowPunct/>
              <w:autoSpaceDE/>
              <w:autoSpaceDN/>
              <w:adjustRightInd/>
              <w:spacing w:line="276" w:lineRule="auto"/>
              <w:jc w:val="center"/>
              <w:textAlignment w:val="auto"/>
              <w:rPr>
                <w:sz w:val="22"/>
                <w:szCs w:val="22"/>
              </w:rPr>
            </w:pPr>
            <w:r w:rsidRPr="003F3C2F">
              <w:rPr>
                <w:b/>
                <w:color w:val="000000" w:themeColor="text1"/>
                <w:sz w:val="22"/>
                <w:szCs w:val="22"/>
              </w:rPr>
              <w:t>Mitigation Actions and Policy Measures</w:t>
            </w:r>
          </w:p>
        </w:tc>
      </w:tr>
      <w:tr w:rsidR="00A5249E" w:rsidRPr="003F3C2F" w14:paraId="4DB8059A" w14:textId="77777777" w:rsidTr="007F1196">
        <w:tc>
          <w:tcPr>
            <w:tcW w:w="9016" w:type="dxa"/>
          </w:tcPr>
          <w:p w14:paraId="001DB18D" w14:textId="52C7D1A8" w:rsidR="00A5249E" w:rsidRPr="003F3C2F" w:rsidRDefault="005B0BA9" w:rsidP="00222AAC">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0E31267F" w14:textId="77777777" w:rsidR="005B0BA9" w:rsidRPr="003F3C2F" w:rsidRDefault="005B0BA9" w:rsidP="00781F44">
            <w:pPr>
              <w:pStyle w:val="NoSpacing"/>
              <w:numPr>
                <w:ilvl w:val="0"/>
                <w:numId w:val="29"/>
              </w:numPr>
              <w:overflowPunct/>
              <w:autoSpaceDE/>
              <w:autoSpaceDN/>
              <w:adjustRightInd/>
              <w:spacing w:line="276" w:lineRule="auto"/>
              <w:jc w:val="both"/>
              <w:textAlignment w:val="auto"/>
              <w:rPr>
                <w:rFonts w:eastAsia="Courier New"/>
                <w:sz w:val="22"/>
                <w:szCs w:val="22"/>
              </w:rPr>
            </w:pPr>
            <w:r w:rsidRPr="003F3C2F">
              <w:rPr>
                <w:rFonts w:eastAsia="Courier New"/>
                <w:sz w:val="22"/>
                <w:szCs w:val="22"/>
                <w:lang w:val="en-US"/>
              </w:rPr>
              <w:t xml:space="preserve">Train and deploy 1000 community health assistants, 500 environmental health technicians, and 250 specialists for referral facilities to understand the increased health risks due to </w:t>
            </w:r>
            <w:r w:rsidRPr="003F3C2F">
              <w:rPr>
                <w:rFonts w:eastAsia="Courier New"/>
                <w:sz w:val="22"/>
                <w:szCs w:val="22"/>
                <w:lang w:val="en-US"/>
              </w:rPr>
              <w:lastRenderedPageBreak/>
              <w:t>climate change vulnerability and how to respond by implementing climate adaptation actions in the health sector by 2030.</w:t>
            </w:r>
          </w:p>
          <w:p w14:paraId="1EF0408C" w14:textId="34560DCC" w:rsidR="005B0BA9" w:rsidRPr="003F3C2F" w:rsidRDefault="005B0BA9" w:rsidP="00781F44">
            <w:pPr>
              <w:pStyle w:val="NoSpacing"/>
              <w:numPr>
                <w:ilvl w:val="0"/>
                <w:numId w:val="29"/>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Establish 425 community health clubs to improve community-level health care and disseminate information on changing health risks to enhance the response to climate-related diseases by 2030.</w:t>
            </w:r>
          </w:p>
          <w:p w14:paraId="01E8F8C1" w14:textId="086164C6" w:rsidR="005B0BA9" w:rsidRPr="003F3C2F" w:rsidRDefault="005B0BA9" w:rsidP="00781F44">
            <w:pPr>
              <w:pStyle w:val="NoSpacing"/>
              <w:numPr>
                <w:ilvl w:val="0"/>
                <w:numId w:val="29"/>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Increase funding by $500,000 per year for research on climate-health nexus, including on the increased health vulnerabilities caused by climate change, the temporal, spatial and spectral aspects of meteorological data needed for healthcare purposes, and on the quality, level, and detail of healthcare data required for disease modelling to develop adequate response measures by 2030.</w:t>
            </w:r>
          </w:p>
          <w:p w14:paraId="26CC8ABE" w14:textId="77777777" w:rsidR="005B0BA9" w:rsidRPr="003F3C2F" w:rsidRDefault="005B0BA9" w:rsidP="00781F44">
            <w:pPr>
              <w:pStyle w:val="NoSpacing"/>
              <w:numPr>
                <w:ilvl w:val="0"/>
                <w:numId w:val="29"/>
              </w:numPr>
              <w:overflowPunct/>
              <w:autoSpaceDE/>
              <w:autoSpaceDN/>
              <w:adjustRightInd/>
              <w:spacing w:line="276" w:lineRule="auto"/>
              <w:jc w:val="both"/>
              <w:textAlignment w:val="auto"/>
              <w:rPr>
                <w:sz w:val="22"/>
                <w:szCs w:val="22"/>
              </w:rPr>
            </w:pPr>
            <w:r w:rsidRPr="003F3C2F">
              <w:rPr>
                <w:rFonts w:eastAsia="Courier New"/>
                <w:sz w:val="22"/>
                <w:szCs w:val="22"/>
                <w:lang w:val="en-US"/>
              </w:rPr>
              <w:t>Promote household and community-level adoption of practices that improve air quality, improve water safety and reduce the risk of disease transmission, while also reducing fuelwood use, such as water filters and improved cookstoves</w:t>
            </w:r>
          </w:p>
          <w:p w14:paraId="27595C21" w14:textId="77777777" w:rsidR="005B0BA9" w:rsidRPr="003F3C2F" w:rsidRDefault="00222AAC" w:rsidP="00781F44">
            <w:pPr>
              <w:pStyle w:val="NoSpacing"/>
              <w:numPr>
                <w:ilvl w:val="0"/>
                <w:numId w:val="29"/>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Beginning 2026, p</w:t>
            </w:r>
            <w:r w:rsidR="005B0BA9" w:rsidRPr="003F3C2F">
              <w:rPr>
                <w:rFonts w:eastAsia="Courier New"/>
                <w:sz w:val="22"/>
                <w:szCs w:val="22"/>
                <w:lang w:val="en-US"/>
              </w:rPr>
              <w:t>rovide at least 17</w:t>
            </w:r>
            <w:r w:rsidRPr="003F3C2F">
              <w:rPr>
                <w:rFonts w:eastAsia="Courier New"/>
                <w:sz w:val="22"/>
                <w:szCs w:val="22"/>
                <w:lang w:val="en-US"/>
              </w:rPr>
              <w:t>0</w:t>
            </w:r>
            <w:r w:rsidR="005B0BA9" w:rsidRPr="003F3C2F">
              <w:rPr>
                <w:rFonts w:eastAsia="Courier New"/>
                <w:sz w:val="22"/>
                <w:szCs w:val="22"/>
                <w:lang w:val="en-US"/>
              </w:rPr>
              <w:t xml:space="preserve"> water safety and purification kits </w:t>
            </w:r>
            <w:r w:rsidRPr="003F3C2F">
              <w:rPr>
                <w:rFonts w:eastAsia="Courier New"/>
                <w:sz w:val="22"/>
                <w:szCs w:val="22"/>
                <w:lang w:val="en-US"/>
              </w:rPr>
              <w:t xml:space="preserve">per annum </w:t>
            </w:r>
            <w:r w:rsidR="005B0BA9" w:rsidRPr="003F3C2F">
              <w:rPr>
                <w:rFonts w:eastAsia="Courier New"/>
                <w:sz w:val="22"/>
                <w:szCs w:val="22"/>
                <w:lang w:val="en-US"/>
              </w:rPr>
              <w:t>to rural communities</w:t>
            </w:r>
            <w:r w:rsidRPr="003F3C2F">
              <w:rPr>
                <w:rFonts w:eastAsia="Courier New"/>
                <w:sz w:val="22"/>
                <w:szCs w:val="22"/>
                <w:lang w:val="en-US"/>
              </w:rPr>
              <w:t>.</w:t>
            </w:r>
          </w:p>
          <w:p w14:paraId="6228AE6A" w14:textId="3B676B17" w:rsidR="008824AD" w:rsidRPr="003F3C2F" w:rsidRDefault="008824AD" w:rsidP="00781F44">
            <w:pPr>
              <w:pStyle w:val="NoSpacing"/>
              <w:numPr>
                <w:ilvl w:val="0"/>
                <w:numId w:val="29"/>
              </w:numPr>
              <w:overflowPunct/>
              <w:autoSpaceDE/>
              <w:autoSpaceDN/>
              <w:adjustRightInd/>
              <w:spacing w:line="276" w:lineRule="auto"/>
              <w:jc w:val="both"/>
              <w:textAlignment w:val="auto"/>
              <w:rPr>
                <w:rFonts w:eastAsia="Courier New"/>
                <w:sz w:val="22"/>
                <w:szCs w:val="22"/>
                <w:lang w:val="en-US"/>
              </w:rPr>
            </w:pPr>
            <w:r w:rsidRPr="003F3C2F">
              <w:rPr>
                <w:rFonts w:eastAsia="Courier New"/>
                <w:sz w:val="22"/>
                <w:szCs w:val="22"/>
                <w:lang w:val="en-US"/>
              </w:rPr>
              <w:t>Retrofit health facilities with climate resilient WASH infrastructure, backup water storage, Promote water, sanitation and hygiene education in schools to build greater resilience in addressing emerging water- and vector-borne diseases caused by climate change.</w:t>
            </w:r>
          </w:p>
        </w:tc>
      </w:tr>
      <w:tr w:rsidR="00760E9A" w:rsidRPr="003F3C2F" w14:paraId="50EABC83" w14:textId="77777777" w:rsidTr="00760E9A">
        <w:tc>
          <w:tcPr>
            <w:tcW w:w="9016" w:type="dxa"/>
            <w:shd w:val="clear" w:color="auto" w:fill="126767"/>
          </w:tcPr>
          <w:p w14:paraId="6A015A1B" w14:textId="3453A868" w:rsidR="00760E9A" w:rsidRPr="003F3C2F" w:rsidRDefault="00760E9A" w:rsidP="00760E9A">
            <w:pPr>
              <w:overflowPunct/>
              <w:autoSpaceDE/>
              <w:autoSpaceDN/>
              <w:adjustRightInd/>
              <w:spacing w:line="276" w:lineRule="auto"/>
              <w:jc w:val="center"/>
              <w:textAlignment w:val="auto"/>
              <w:rPr>
                <w:sz w:val="22"/>
                <w:szCs w:val="22"/>
              </w:rPr>
            </w:pPr>
            <w:r w:rsidRPr="003F3C2F">
              <w:rPr>
                <w:b/>
                <w:bCs/>
                <w:color w:val="FFFFFF" w:themeColor="background1"/>
                <w:sz w:val="22"/>
                <w:szCs w:val="22"/>
              </w:rPr>
              <w:lastRenderedPageBreak/>
              <w:t>Transport</w:t>
            </w:r>
          </w:p>
        </w:tc>
      </w:tr>
      <w:tr w:rsidR="00760E9A" w:rsidRPr="003F3C2F" w14:paraId="38380608" w14:textId="77777777" w:rsidTr="00760E9A">
        <w:tc>
          <w:tcPr>
            <w:tcW w:w="9016" w:type="dxa"/>
            <w:shd w:val="clear" w:color="auto" w:fill="DBE5F1" w:themeFill="accent1" w:themeFillTint="33"/>
          </w:tcPr>
          <w:p w14:paraId="0E3C3E8B" w14:textId="30798651" w:rsidR="00760E9A" w:rsidRPr="003F3C2F" w:rsidRDefault="00760E9A" w:rsidP="00760E9A">
            <w:pPr>
              <w:overflowPunct/>
              <w:autoSpaceDE/>
              <w:autoSpaceDN/>
              <w:adjustRightInd/>
              <w:spacing w:line="276" w:lineRule="auto"/>
              <w:jc w:val="center"/>
              <w:textAlignment w:val="auto"/>
              <w:rPr>
                <w:sz w:val="22"/>
                <w:szCs w:val="22"/>
              </w:rPr>
            </w:pPr>
            <w:r w:rsidRPr="003F3C2F">
              <w:rPr>
                <w:b/>
                <w:color w:val="000000" w:themeColor="text1"/>
                <w:sz w:val="22"/>
                <w:szCs w:val="22"/>
              </w:rPr>
              <w:t>Adaptation Targets</w:t>
            </w:r>
          </w:p>
        </w:tc>
      </w:tr>
      <w:tr w:rsidR="00760E9A" w:rsidRPr="003F3C2F" w14:paraId="04BA3786" w14:textId="77777777" w:rsidTr="007F1196">
        <w:tc>
          <w:tcPr>
            <w:tcW w:w="9016" w:type="dxa"/>
          </w:tcPr>
          <w:p w14:paraId="14CA6600" w14:textId="7478CD79" w:rsidR="00760E9A" w:rsidRPr="003F3C2F" w:rsidRDefault="00760E9A" w:rsidP="00760E9A">
            <w:pPr>
              <w:spacing w:line="276" w:lineRule="auto"/>
              <w:jc w:val="both"/>
              <w:rPr>
                <w:sz w:val="22"/>
                <w:szCs w:val="22"/>
              </w:rPr>
            </w:pPr>
            <w:r w:rsidRPr="003F3C2F">
              <w:rPr>
                <w:sz w:val="22"/>
                <w:szCs w:val="22"/>
              </w:rPr>
              <w:t>Climate risks such as intense rainfall and flooding damage Liberia’s limited road infrastructure, impeding access to essential services and markets, especially during the rainy season. About 85% of Liberia’s roads are unpaved and highly susceptible to climate impacts (EPA, 2021). The targets include:</w:t>
            </w:r>
          </w:p>
          <w:p w14:paraId="70F134E0" w14:textId="72FB83C4" w:rsidR="00760E9A" w:rsidRPr="003F3C2F" w:rsidRDefault="00760E9A" w:rsidP="00781F44">
            <w:pPr>
              <w:pStyle w:val="NoSpacing"/>
              <w:numPr>
                <w:ilvl w:val="0"/>
                <w:numId w:val="30"/>
              </w:numPr>
              <w:overflowPunct/>
              <w:autoSpaceDE/>
              <w:autoSpaceDN/>
              <w:adjustRightInd/>
              <w:spacing w:line="276" w:lineRule="auto"/>
              <w:textAlignment w:val="auto"/>
              <w:rPr>
                <w:rFonts w:eastAsia="Calibri"/>
                <w:sz w:val="22"/>
                <w:szCs w:val="22"/>
                <w:lang w:val="en-US"/>
              </w:rPr>
            </w:pPr>
            <w:r w:rsidRPr="003F3C2F">
              <w:rPr>
                <w:rFonts w:eastAsia="Calibri"/>
                <w:sz w:val="22"/>
                <w:szCs w:val="22"/>
                <w:lang w:val="en-US"/>
              </w:rPr>
              <w:t>Support the implementation of infrastructure that foster the development of a bus public transport network for Monrovia.</w:t>
            </w:r>
          </w:p>
          <w:p w14:paraId="398D81D2" w14:textId="19E8BF4A" w:rsidR="00760E9A" w:rsidRPr="003F3C2F" w:rsidRDefault="00760E9A" w:rsidP="00781F44">
            <w:pPr>
              <w:pStyle w:val="NoSpacing"/>
              <w:numPr>
                <w:ilvl w:val="0"/>
                <w:numId w:val="30"/>
              </w:numPr>
              <w:overflowPunct/>
              <w:autoSpaceDE/>
              <w:autoSpaceDN/>
              <w:adjustRightInd/>
              <w:spacing w:line="276" w:lineRule="auto"/>
              <w:textAlignment w:val="auto"/>
              <w:rPr>
                <w:rFonts w:eastAsia="Calibri"/>
                <w:sz w:val="22"/>
                <w:szCs w:val="22"/>
                <w:lang w:val="en-US"/>
              </w:rPr>
            </w:pPr>
            <w:r w:rsidRPr="003F3C2F">
              <w:rPr>
                <w:rFonts w:eastAsia="Calibri"/>
                <w:sz w:val="22"/>
                <w:szCs w:val="22"/>
                <w:lang w:val="en-US"/>
              </w:rPr>
              <w:t xml:space="preserve">By 2023, ensure that all major highway in Liberia is climate-resilient withstanding climate-induced disaster events such as floods, erosion, etc. </w:t>
            </w:r>
          </w:p>
        </w:tc>
      </w:tr>
      <w:tr w:rsidR="00760E9A" w:rsidRPr="003F3C2F" w14:paraId="72F62227" w14:textId="77777777" w:rsidTr="00760E9A">
        <w:tc>
          <w:tcPr>
            <w:tcW w:w="9016" w:type="dxa"/>
            <w:shd w:val="clear" w:color="auto" w:fill="DBE5F1" w:themeFill="accent1" w:themeFillTint="33"/>
          </w:tcPr>
          <w:p w14:paraId="5BF22158" w14:textId="49C03A34" w:rsidR="00760E9A" w:rsidRPr="003F3C2F" w:rsidRDefault="00760E9A" w:rsidP="00760E9A">
            <w:pPr>
              <w:overflowPunct/>
              <w:autoSpaceDE/>
              <w:autoSpaceDN/>
              <w:adjustRightInd/>
              <w:spacing w:line="276" w:lineRule="auto"/>
              <w:jc w:val="center"/>
              <w:textAlignment w:val="auto"/>
              <w:rPr>
                <w:sz w:val="22"/>
                <w:szCs w:val="22"/>
              </w:rPr>
            </w:pPr>
            <w:r w:rsidRPr="003F3C2F">
              <w:rPr>
                <w:b/>
                <w:color w:val="000000" w:themeColor="text1"/>
                <w:sz w:val="22"/>
                <w:szCs w:val="22"/>
              </w:rPr>
              <w:t>Mitigation Actions and Policy Measures</w:t>
            </w:r>
          </w:p>
        </w:tc>
      </w:tr>
      <w:tr w:rsidR="00760E9A" w:rsidRPr="003F3C2F" w14:paraId="6C1733F3" w14:textId="77777777" w:rsidTr="007F1196">
        <w:tc>
          <w:tcPr>
            <w:tcW w:w="9016" w:type="dxa"/>
          </w:tcPr>
          <w:p w14:paraId="04E1F0DE" w14:textId="77777777" w:rsidR="00760E9A" w:rsidRPr="003F3C2F" w:rsidRDefault="00760E9A" w:rsidP="00760E9A">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5EDD40FE" w14:textId="77777777" w:rsidR="00760E9A" w:rsidRPr="003F3C2F" w:rsidRDefault="00760E9A" w:rsidP="00760E9A">
            <w:pPr>
              <w:pStyle w:val="NoSpacing"/>
              <w:overflowPunct/>
              <w:autoSpaceDE/>
              <w:autoSpaceDN/>
              <w:adjustRightInd/>
              <w:spacing w:line="276" w:lineRule="auto"/>
              <w:jc w:val="both"/>
              <w:textAlignment w:val="auto"/>
              <w:rPr>
                <w:sz w:val="12"/>
                <w:szCs w:val="12"/>
                <w:lang w:val="en-US"/>
              </w:rPr>
            </w:pPr>
          </w:p>
          <w:p w14:paraId="2D54A3C2" w14:textId="77777777"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 xml:space="preserve">Ensure that the revised transportation Master Plan contains measures to promote climate-resilient transportation systems and equipment.  </w:t>
            </w:r>
          </w:p>
          <w:p w14:paraId="2DB946CB" w14:textId="414182AB"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 xml:space="preserve">Conduct risk mapping of climate stress vulnerability of transport infrastructure, by 2026, to ensure that future investment is guided by such risk mapping. </w:t>
            </w:r>
          </w:p>
          <w:p w14:paraId="37DDAB0B" w14:textId="77777777"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Updating design and construction standards and materials to ensure that future infrastructure is more resilient to anticipated climate and extreme weather events. o Integration of climate change into infrastructure design practices</w:t>
            </w:r>
          </w:p>
          <w:p w14:paraId="66BFEDEB" w14:textId="140AE6B6"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Include in the sectoral strategies and policies at the national level climate adaptation strategies and policies.</w:t>
            </w:r>
          </w:p>
        </w:tc>
      </w:tr>
      <w:tr w:rsidR="00760E9A" w:rsidRPr="003F3C2F" w14:paraId="596FFED4" w14:textId="77777777" w:rsidTr="00760E9A">
        <w:tc>
          <w:tcPr>
            <w:tcW w:w="9016" w:type="dxa"/>
            <w:shd w:val="clear" w:color="auto" w:fill="126767"/>
          </w:tcPr>
          <w:p w14:paraId="1CC5558F" w14:textId="1E835A64" w:rsidR="00760E9A" w:rsidRPr="003F3C2F" w:rsidRDefault="00760E9A" w:rsidP="00760E9A">
            <w:pPr>
              <w:overflowPunct/>
              <w:autoSpaceDE/>
              <w:autoSpaceDN/>
              <w:adjustRightInd/>
              <w:spacing w:line="276" w:lineRule="auto"/>
              <w:jc w:val="center"/>
              <w:textAlignment w:val="auto"/>
              <w:rPr>
                <w:sz w:val="22"/>
                <w:szCs w:val="22"/>
              </w:rPr>
            </w:pPr>
            <w:r w:rsidRPr="003F3C2F">
              <w:rPr>
                <w:b/>
                <w:bCs/>
                <w:color w:val="FFFFFF" w:themeColor="background1"/>
                <w:sz w:val="22"/>
                <w:szCs w:val="22"/>
              </w:rPr>
              <w:t>Freshwater Ecosystem</w:t>
            </w:r>
          </w:p>
        </w:tc>
      </w:tr>
      <w:tr w:rsidR="00760E9A" w:rsidRPr="003F3C2F" w14:paraId="561762A9" w14:textId="77777777" w:rsidTr="00760E9A">
        <w:tc>
          <w:tcPr>
            <w:tcW w:w="9016" w:type="dxa"/>
            <w:shd w:val="clear" w:color="auto" w:fill="DBE5F1" w:themeFill="accent1" w:themeFillTint="33"/>
          </w:tcPr>
          <w:p w14:paraId="7DAFA344" w14:textId="401EFAB7" w:rsidR="00760E9A" w:rsidRPr="003F3C2F" w:rsidRDefault="00760E9A" w:rsidP="00760E9A">
            <w:pPr>
              <w:overflowPunct/>
              <w:autoSpaceDE/>
              <w:autoSpaceDN/>
              <w:adjustRightInd/>
              <w:spacing w:line="276" w:lineRule="auto"/>
              <w:jc w:val="center"/>
              <w:textAlignment w:val="auto"/>
              <w:rPr>
                <w:sz w:val="22"/>
                <w:szCs w:val="22"/>
              </w:rPr>
            </w:pPr>
            <w:r w:rsidRPr="003F3C2F">
              <w:rPr>
                <w:b/>
                <w:color w:val="000000" w:themeColor="text1"/>
                <w:sz w:val="22"/>
                <w:szCs w:val="22"/>
              </w:rPr>
              <w:t>Adaptation Targets</w:t>
            </w:r>
          </w:p>
        </w:tc>
      </w:tr>
      <w:tr w:rsidR="00760E9A" w:rsidRPr="003F3C2F" w14:paraId="3182A9FF" w14:textId="77777777" w:rsidTr="007F1196">
        <w:tc>
          <w:tcPr>
            <w:tcW w:w="9016" w:type="dxa"/>
          </w:tcPr>
          <w:p w14:paraId="26A182BB" w14:textId="77777777" w:rsidR="00760E9A" w:rsidRPr="003F3C2F" w:rsidRDefault="00760E9A" w:rsidP="00760E9A">
            <w:pPr>
              <w:pStyle w:val="NoSpacing"/>
              <w:overflowPunct/>
              <w:autoSpaceDE/>
              <w:autoSpaceDN/>
              <w:adjustRightInd/>
              <w:spacing w:line="276" w:lineRule="auto"/>
              <w:jc w:val="both"/>
              <w:textAlignment w:val="auto"/>
              <w:rPr>
                <w:sz w:val="22"/>
                <w:szCs w:val="22"/>
                <w:lang w:val="en-US"/>
              </w:rPr>
            </w:pPr>
            <w:r w:rsidRPr="003F3C2F">
              <w:rPr>
                <w:sz w:val="22"/>
                <w:szCs w:val="22"/>
                <w:lang w:val="en-US"/>
              </w:rPr>
              <w:lastRenderedPageBreak/>
              <w:t>Liberia is endowed with substantial freshwater resources, but climate change threatens their availability and quality through erratic rainfall, droughts, and pollution. Vulnerability assessments point to increasing water scarcity in urban and peri-urban areas (NAP, 2020). The targets include:</w:t>
            </w:r>
          </w:p>
          <w:p w14:paraId="7C33ED66" w14:textId="77777777" w:rsidR="00760E9A" w:rsidRPr="003F3C2F" w:rsidRDefault="00760E9A" w:rsidP="00760E9A">
            <w:pPr>
              <w:pStyle w:val="NoSpacing"/>
              <w:overflowPunct/>
              <w:autoSpaceDE/>
              <w:autoSpaceDN/>
              <w:adjustRightInd/>
              <w:spacing w:line="276" w:lineRule="auto"/>
              <w:jc w:val="both"/>
              <w:textAlignment w:val="auto"/>
              <w:rPr>
                <w:sz w:val="12"/>
                <w:szCs w:val="12"/>
                <w:lang w:val="en-US"/>
              </w:rPr>
            </w:pPr>
          </w:p>
          <w:p w14:paraId="3B0F32B9" w14:textId="65A99F71"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Map and pilot inclusive drought EWS in vulnerable communities; Establish government-led participatory mechanism for water sector coordination based on IWRM principles, including a specific focus on the provision of reliable, clean drinking water at the community level.</w:t>
            </w:r>
          </w:p>
          <w:p w14:paraId="0F6F4DED" w14:textId="77777777" w:rsidR="00760E9A" w:rsidRPr="003F3C2F" w:rsidRDefault="00760E9A" w:rsidP="00760E9A">
            <w:pPr>
              <w:pStyle w:val="NoSpacing"/>
              <w:overflowPunct/>
              <w:autoSpaceDE/>
              <w:autoSpaceDN/>
              <w:adjustRightInd/>
              <w:spacing w:line="276" w:lineRule="auto"/>
              <w:jc w:val="both"/>
              <w:textAlignment w:val="auto"/>
              <w:rPr>
                <w:sz w:val="12"/>
                <w:szCs w:val="12"/>
                <w:lang w:val="en-US"/>
              </w:rPr>
            </w:pPr>
          </w:p>
          <w:p w14:paraId="5119B46E" w14:textId="77777777"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 xml:space="preserve">Establish 50 WASH inclusive adaptation committees (≥50% women, 20% youth) in high-risk areas; updated policy frameworks; </w:t>
            </w:r>
          </w:p>
          <w:p w14:paraId="4CFA184A" w14:textId="3A58DBF9" w:rsidR="00760E9A" w:rsidRPr="003F3C2F" w:rsidRDefault="00760E9A"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Improve access to safe water and sanitation under the conditions of a changing climate by the adoption of new technologies and participatory water management at the household and community levels.</w:t>
            </w:r>
          </w:p>
        </w:tc>
      </w:tr>
      <w:tr w:rsidR="00760E9A" w:rsidRPr="003F3C2F" w14:paraId="5EEBA88A" w14:textId="77777777" w:rsidTr="00760E9A">
        <w:tc>
          <w:tcPr>
            <w:tcW w:w="9016" w:type="dxa"/>
            <w:shd w:val="clear" w:color="auto" w:fill="DBE5F1" w:themeFill="accent1" w:themeFillTint="33"/>
          </w:tcPr>
          <w:p w14:paraId="1B63CE3D" w14:textId="2EE92023" w:rsidR="00760E9A" w:rsidRPr="003F3C2F" w:rsidRDefault="00760E9A" w:rsidP="00760E9A">
            <w:pPr>
              <w:overflowPunct/>
              <w:autoSpaceDE/>
              <w:autoSpaceDN/>
              <w:adjustRightInd/>
              <w:spacing w:line="276" w:lineRule="auto"/>
              <w:jc w:val="center"/>
              <w:textAlignment w:val="auto"/>
              <w:rPr>
                <w:sz w:val="22"/>
                <w:szCs w:val="22"/>
              </w:rPr>
            </w:pPr>
            <w:r w:rsidRPr="003F3C2F">
              <w:rPr>
                <w:b/>
                <w:color w:val="000000" w:themeColor="text1"/>
                <w:sz w:val="22"/>
                <w:szCs w:val="22"/>
              </w:rPr>
              <w:t>Mitigation Actions and Policy Measures</w:t>
            </w:r>
          </w:p>
        </w:tc>
      </w:tr>
      <w:tr w:rsidR="00760E9A" w:rsidRPr="003F3C2F" w14:paraId="5FA2B18F" w14:textId="77777777" w:rsidTr="007F1196">
        <w:tc>
          <w:tcPr>
            <w:tcW w:w="9016" w:type="dxa"/>
          </w:tcPr>
          <w:p w14:paraId="2E799B82" w14:textId="26C42A31" w:rsidR="00760E9A" w:rsidRPr="003F3C2F" w:rsidRDefault="008824AD" w:rsidP="00760E9A">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1441EBB6" w14:textId="51461452" w:rsidR="008824AD" w:rsidRPr="003F3C2F" w:rsidRDefault="008824AD"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Ensure universal access to climate-resilient drinking water by 2030.</w:t>
            </w:r>
          </w:p>
          <w:p w14:paraId="29DB98AF" w14:textId="77777777" w:rsidR="008824AD" w:rsidRPr="003F3C2F" w:rsidRDefault="008824AD" w:rsidP="00781F44">
            <w:pPr>
              <w:pStyle w:val="NoSpacing"/>
              <w:numPr>
                <w:ilvl w:val="0"/>
                <w:numId w:val="31"/>
              </w:numPr>
              <w:overflowPunct/>
              <w:autoSpaceDE/>
              <w:autoSpaceDN/>
              <w:adjustRightInd/>
              <w:spacing w:line="276" w:lineRule="auto"/>
              <w:jc w:val="both"/>
              <w:textAlignment w:val="auto"/>
              <w:rPr>
                <w:sz w:val="22"/>
                <w:szCs w:val="22"/>
                <w:lang w:val="en-US"/>
              </w:rPr>
            </w:pPr>
            <w:r w:rsidRPr="003F3C2F">
              <w:rPr>
                <w:sz w:val="22"/>
                <w:szCs w:val="22"/>
                <w:lang w:val="en-US"/>
              </w:rPr>
              <w:t>Deploy, by 2028, solar-powered boreholes/ water systems, rainwater harvesting, catchment protection. Address the skill-development needs of the sector, with a particular focus on youth, in close collaboration with national skills development agencies and the private sector. Specific attention to integrating emerging water technologies and innovative climate solutions.</w:t>
            </w:r>
          </w:p>
          <w:p w14:paraId="204058FD" w14:textId="6AF1B33E" w:rsidR="008824AD" w:rsidRPr="003F3C2F" w:rsidRDefault="008824AD" w:rsidP="00781F44">
            <w:pPr>
              <w:pStyle w:val="NoSpacing"/>
              <w:numPr>
                <w:ilvl w:val="0"/>
                <w:numId w:val="31"/>
              </w:numPr>
              <w:overflowPunct/>
              <w:autoSpaceDE/>
              <w:autoSpaceDN/>
              <w:adjustRightInd/>
              <w:spacing w:line="276" w:lineRule="auto"/>
              <w:jc w:val="both"/>
              <w:textAlignment w:val="auto"/>
            </w:pPr>
            <w:r w:rsidRPr="003F3C2F">
              <w:rPr>
                <w:sz w:val="22"/>
                <w:szCs w:val="22"/>
                <w:lang w:val="en-US"/>
              </w:rPr>
              <w:t>Promote Elevated latrines, wetland restoration, and drainage systems in rural communities by 2028.</w:t>
            </w:r>
          </w:p>
        </w:tc>
      </w:tr>
    </w:tbl>
    <w:p w14:paraId="5FF362C6" w14:textId="77777777" w:rsidR="006E0F66" w:rsidRPr="003F3C2F" w:rsidRDefault="006E0F66" w:rsidP="006E0F66">
      <w:pPr>
        <w:pStyle w:val="BodyText"/>
        <w:ind w:left="0"/>
        <w:rPr>
          <w:rFonts w:ascii="Times New Roman" w:hAnsi="Times New Roman"/>
        </w:rPr>
      </w:pPr>
    </w:p>
    <w:p w14:paraId="4E1DBAD1" w14:textId="77777777" w:rsidR="00874B30" w:rsidRPr="003F3C2F" w:rsidRDefault="00874B30" w:rsidP="00E648F2">
      <w:pPr>
        <w:spacing w:line="276" w:lineRule="auto"/>
        <w:jc w:val="both"/>
        <w:rPr>
          <w:sz w:val="24"/>
          <w:szCs w:val="24"/>
        </w:rPr>
      </w:pPr>
    </w:p>
    <w:p w14:paraId="7E31E74E" w14:textId="77777777" w:rsidR="002B3E90" w:rsidRPr="003F3C2F" w:rsidRDefault="002B3E90" w:rsidP="002B3E90">
      <w:pPr>
        <w:pStyle w:val="BodyText"/>
        <w:ind w:left="0"/>
        <w:rPr>
          <w:rFonts w:ascii="Times New Roman" w:hAnsi="Times New Roman"/>
        </w:rPr>
      </w:pPr>
    </w:p>
    <w:p w14:paraId="60AA0B60" w14:textId="77777777" w:rsidR="00874B30" w:rsidRPr="003F3C2F" w:rsidRDefault="00874B30" w:rsidP="00E648F2">
      <w:pPr>
        <w:spacing w:line="276" w:lineRule="auto"/>
        <w:jc w:val="both"/>
        <w:rPr>
          <w:sz w:val="24"/>
          <w:szCs w:val="24"/>
        </w:rPr>
      </w:pPr>
    </w:p>
    <w:p w14:paraId="70A5FE37" w14:textId="77777777" w:rsidR="00874B30" w:rsidRPr="003F3C2F" w:rsidRDefault="00874B30" w:rsidP="00E648F2">
      <w:pPr>
        <w:spacing w:line="276" w:lineRule="auto"/>
        <w:jc w:val="both"/>
        <w:rPr>
          <w:sz w:val="24"/>
          <w:szCs w:val="24"/>
        </w:rPr>
      </w:pPr>
    </w:p>
    <w:p w14:paraId="1E1CA377" w14:textId="77777777" w:rsidR="003501DB" w:rsidRPr="003F3C2F" w:rsidRDefault="003501DB" w:rsidP="00E648F2">
      <w:pPr>
        <w:pStyle w:val="BodyText"/>
        <w:ind w:left="0"/>
        <w:rPr>
          <w:rFonts w:ascii="Times New Roman" w:hAnsi="Times New Roman"/>
        </w:rPr>
      </w:pPr>
    </w:p>
    <w:p w14:paraId="133467C2" w14:textId="77777777" w:rsidR="00FE4745" w:rsidRPr="003F3C2F" w:rsidRDefault="00FE4745" w:rsidP="00E648F2">
      <w:pPr>
        <w:spacing w:before="240" w:after="240" w:line="276" w:lineRule="auto"/>
      </w:pPr>
    </w:p>
    <w:p w14:paraId="5C7D33F3" w14:textId="77777777" w:rsidR="00FE4745" w:rsidRPr="003F3C2F" w:rsidRDefault="00FE4745" w:rsidP="00E648F2">
      <w:pPr>
        <w:pStyle w:val="BodyText"/>
        <w:spacing w:before="240" w:after="240"/>
        <w:rPr>
          <w:rFonts w:ascii="Times New Roman" w:eastAsiaTheme="majorEastAsia" w:hAnsi="Times New Roman"/>
          <w:color w:val="365F91" w:themeColor="accent1" w:themeShade="BF"/>
          <w:sz w:val="40"/>
          <w:szCs w:val="40"/>
        </w:rPr>
      </w:pPr>
      <w:r w:rsidRPr="003F3C2F">
        <w:rPr>
          <w:rFonts w:ascii="Times New Roman" w:hAnsi="Times New Roman"/>
        </w:rPr>
        <w:br w:type="page"/>
      </w:r>
    </w:p>
    <w:p w14:paraId="78F67B20" w14:textId="16688ED6" w:rsidR="00EF5E0E" w:rsidRPr="003F3C2F" w:rsidRDefault="001C3938" w:rsidP="00360927">
      <w:pPr>
        <w:pStyle w:val="Heading2"/>
        <w:numPr>
          <w:ilvl w:val="1"/>
          <w:numId w:val="12"/>
        </w:numPr>
        <w:spacing w:before="240" w:after="240" w:line="276" w:lineRule="auto"/>
      </w:pPr>
      <w:bookmarkStart w:id="53" w:name="_Toc205444890"/>
      <w:r w:rsidRPr="003F3C2F">
        <w:lastRenderedPageBreak/>
        <w:t>Cross-cutting Areas</w:t>
      </w:r>
      <w:bookmarkEnd w:id="53"/>
    </w:p>
    <w:tbl>
      <w:tblPr>
        <w:tblStyle w:val="TableGrid"/>
        <w:tblW w:w="0" w:type="auto"/>
        <w:tblLook w:val="04A0" w:firstRow="1" w:lastRow="0" w:firstColumn="1" w:lastColumn="0" w:noHBand="0" w:noVBand="1"/>
      </w:tblPr>
      <w:tblGrid>
        <w:gridCol w:w="9016"/>
      </w:tblGrid>
      <w:tr w:rsidR="00540826" w:rsidRPr="003F3C2F" w14:paraId="0A3E080B" w14:textId="77777777" w:rsidTr="00D70D11">
        <w:tc>
          <w:tcPr>
            <w:tcW w:w="9016" w:type="dxa"/>
            <w:shd w:val="clear" w:color="auto" w:fill="126767"/>
          </w:tcPr>
          <w:p w14:paraId="28601CCF" w14:textId="29A0492E" w:rsidR="00540826" w:rsidRPr="003F3C2F" w:rsidRDefault="00540826" w:rsidP="00D70D11">
            <w:pPr>
              <w:overflowPunct/>
              <w:autoSpaceDE/>
              <w:autoSpaceDN/>
              <w:adjustRightInd/>
              <w:spacing w:line="276" w:lineRule="auto"/>
              <w:jc w:val="center"/>
              <w:textAlignment w:val="auto"/>
              <w:rPr>
                <w:b/>
                <w:bCs/>
                <w:color w:val="FFFFFF" w:themeColor="background1"/>
                <w:sz w:val="22"/>
                <w:szCs w:val="22"/>
              </w:rPr>
            </w:pPr>
            <w:r>
              <w:rPr>
                <w:b/>
                <w:bCs/>
                <w:color w:val="FFFFFF" w:themeColor="background1"/>
                <w:sz w:val="22"/>
                <w:szCs w:val="22"/>
              </w:rPr>
              <w:t>Gender</w:t>
            </w:r>
          </w:p>
        </w:tc>
      </w:tr>
      <w:tr w:rsidR="00540826" w:rsidRPr="003F3C2F" w14:paraId="62270E19" w14:textId="77777777" w:rsidTr="00D70D11">
        <w:tc>
          <w:tcPr>
            <w:tcW w:w="9016" w:type="dxa"/>
            <w:shd w:val="clear" w:color="auto" w:fill="DBE5F1" w:themeFill="accent1" w:themeFillTint="33"/>
          </w:tcPr>
          <w:p w14:paraId="08C7557B" w14:textId="77777777" w:rsidR="00540826" w:rsidRPr="003F3C2F" w:rsidRDefault="00540826" w:rsidP="00D70D11">
            <w:pPr>
              <w:overflowPunct/>
              <w:autoSpaceDE/>
              <w:autoSpaceDN/>
              <w:adjustRightInd/>
              <w:spacing w:line="276" w:lineRule="auto"/>
              <w:jc w:val="center"/>
              <w:textAlignment w:val="auto"/>
              <w:rPr>
                <w:b/>
                <w:bCs/>
                <w:color w:val="FFFFFF" w:themeColor="background1"/>
                <w:sz w:val="22"/>
                <w:szCs w:val="22"/>
              </w:rPr>
            </w:pPr>
            <w:r w:rsidRPr="003F3C2F">
              <w:rPr>
                <w:b/>
                <w:bCs/>
                <w:color w:val="000000" w:themeColor="text1"/>
                <w:sz w:val="22"/>
                <w:szCs w:val="22"/>
              </w:rPr>
              <w:t>Targets</w:t>
            </w:r>
          </w:p>
        </w:tc>
      </w:tr>
      <w:tr w:rsidR="00540826" w:rsidRPr="003F3C2F" w14:paraId="3AFC264D" w14:textId="77777777" w:rsidTr="00D70D11">
        <w:tc>
          <w:tcPr>
            <w:tcW w:w="9016" w:type="dxa"/>
          </w:tcPr>
          <w:p w14:paraId="0F54BAB0" w14:textId="679BF9DD" w:rsidR="00540826" w:rsidRPr="003F3C2F" w:rsidRDefault="00540826" w:rsidP="00D70D11">
            <w:pPr>
              <w:pStyle w:val="NoSpacing"/>
              <w:spacing w:line="276" w:lineRule="auto"/>
              <w:jc w:val="both"/>
              <w:rPr>
                <w:sz w:val="22"/>
                <w:szCs w:val="22"/>
              </w:rPr>
            </w:pPr>
            <w:r w:rsidRPr="00540826">
              <w:rPr>
                <w:sz w:val="22"/>
                <w:szCs w:val="22"/>
              </w:rPr>
              <w:t>Liberia’s NDC 3.0 recognizes that climate change impacts women and men differently, with women often facing greater risks due to persistent inequalities in literacy, education, access to resources, and decision-making. Although women constitute 49.6% of the population and play a dominant role in agriculture comprising 80% of the agricultural labor force and producing 93% of food, they face systemic barriers such as limited access to land, credit, agricultural services, and leadership opportunities.</w:t>
            </w:r>
            <w:r>
              <w:rPr>
                <w:sz w:val="22"/>
                <w:szCs w:val="22"/>
              </w:rPr>
              <w:t xml:space="preserve"> </w:t>
            </w:r>
            <w:r w:rsidRPr="003F3C2F">
              <w:rPr>
                <w:sz w:val="22"/>
                <w:szCs w:val="22"/>
              </w:rPr>
              <w:t>The targets include:</w:t>
            </w:r>
          </w:p>
          <w:p w14:paraId="583BD90F" w14:textId="77777777" w:rsidR="00540826" w:rsidRPr="00540826" w:rsidRDefault="00540826" w:rsidP="00781F44">
            <w:pPr>
              <w:pStyle w:val="NoSpacing"/>
              <w:numPr>
                <w:ilvl w:val="0"/>
                <w:numId w:val="34"/>
              </w:numPr>
              <w:spacing w:line="276" w:lineRule="auto"/>
              <w:jc w:val="both"/>
              <w:rPr>
                <w:sz w:val="22"/>
                <w:szCs w:val="22"/>
              </w:rPr>
            </w:pPr>
            <w:r w:rsidRPr="00540826">
              <w:rPr>
                <w:sz w:val="22"/>
                <w:szCs w:val="22"/>
              </w:rPr>
              <w:t>Ensure that all projects under the NDC 3.0 integrate gender-sensitive planning and implementation.</w:t>
            </w:r>
          </w:p>
          <w:p w14:paraId="32667D57" w14:textId="77777777" w:rsidR="00540826" w:rsidRPr="00540826" w:rsidRDefault="00540826" w:rsidP="00781F44">
            <w:pPr>
              <w:pStyle w:val="NoSpacing"/>
              <w:numPr>
                <w:ilvl w:val="0"/>
                <w:numId w:val="34"/>
              </w:numPr>
              <w:spacing w:line="276" w:lineRule="auto"/>
              <w:jc w:val="both"/>
              <w:rPr>
                <w:sz w:val="22"/>
                <w:szCs w:val="22"/>
              </w:rPr>
            </w:pPr>
            <w:r w:rsidRPr="00540826">
              <w:rPr>
                <w:sz w:val="22"/>
                <w:szCs w:val="22"/>
              </w:rPr>
              <w:t>By 2030, the needs of women and marginalized groups are explicitly addressed, ensuring adaptation priorities, from climate-resilient agriculture to disaster risk management, are grounded in gender-responsive strategies.</w:t>
            </w:r>
          </w:p>
          <w:p w14:paraId="0DCE360C" w14:textId="6861E109" w:rsidR="00540826" w:rsidRPr="00540826" w:rsidRDefault="00540826" w:rsidP="00781F44">
            <w:pPr>
              <w:pStyle w:val="NoSpacing"/>
              <w:numPr>
                <w:ilvl w:val="0"/>
                <w:numId w:val="34"/>
              </w:numPr>
              <w:spacing w:line="276" w:lineRule="auto"/>
              <w:jc w:val="both"/>
              <w:rPr>
                <w:sz w:val="22"/>
                <w:szCs w:val="22"/>
              </w:rPr>
            </w:pPr>
            <w:r w:rsidRPr="00540826">
              <w:rPr>
                <w:sz w:val="22"/>
                <w:szCs w:val="22"/>
              </w:rPr>
              <w:t>Establish dedicated climate finance mechanisms to support women-led and women-inclusive climate initiatives by simplifying application processes, offering technical assistance for proposal development, and removing barriers that exclude women from funding opportunities.</w:t>
            </w:r>
          </w:p>
        </w:tc>
      </w:tr>
      <w:tr w:rsidR="00540826" w:rsidRPr="003F3C2F" w14:paraId="6DEE113B" w14:textId="77777777" w:rsidTr="00D70D11">
        <w:tc>
          <w:tcPr>
            <w:tcW w:w="9016" w:type="dxa"/>
          </w:tcPr>
          <w:p w14:paraId="12BCBEBD" w14:textId="2B9202D7" w:rsidR="00540826" w:rsidRPr="00540826" w:rsidRDefault="00540826" w:rsidP="00540826">
            <w:pPr>
              <w:pStyle w:val="NoSpacing"/>
              <w:spacing w:line="276" w:lineRule="auto"/>
              <w:jc w:val="center"/>
              <w:rPr>
                <w:sz w:val="22"/>
                <w:szCs w:val="22"/>
              </w:rPr>
            </w:pPr>
            <w:r w:rsidRPr="003F3C2F">
              <w:rPr>
                <w:b/>
                <w:bCs/>
                <w:color w:val="000000" w:themeColor="text1"/>
                <w:sz w:val="22"/>
                <w:szCs w:val="22"/>
              </w:rPr>
              <w:t>Actions and Policy Measures</w:t>
            </w:r>
          </w:p>
        </w:tc>
      </w:tr>
      <w:tr w:rsidR="00540826" w:rsidRPr="003F3C2F" w14:paraId="3144448D" w14:textId="77777777" w:rsidTr="00D70D11">
        <w:tc>
          <w:tcPr>
            <w:tcW w:w="9016" w:type="dxa"/>
          </w:tcPr>
          <w:p w14:paraId="76563DCC" w14:textId="77777777" w:rsidR="00540826" w:rsidRPr="003F3C2F" w:rsidRDefault="00540826" w:rsidP="00D70D11">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658DB58A" w14:textId="77777777" w:rsidR="00540826" w:rsidRPr="00540826" w:rsidRDefault="00540826" w:rsidP="00D70D11">
            <w:pPr>
              <w:pStyle w:val="NoSpacing"/>
              <w:spacing w:line="276" w:lineRule="auto"/>
              <w:jc w:val="both"/>
              <w:rPr>
                <w:sz w:val="12"/>
                <w:szCs w:val="12"/>
              </w:rPr>
            </w:pPr>
          </w:p>
          <w:p w14:paraId="4E15F74E" w14:textId="77777777" w:rsidR="00540826" w:rsidRPr="00540826" w:rsidRDefault="00540826" w:rsidP="00781F44">
            <w:pPr>
              <w:pStyle w:val="NoSpacing"/>
              <w:numPr>
                <w:ilvl w:val="0"/>
                <w:numId w:val="34"/>
              </w:numPr>
              <w:spacing w:line="276" w:lineRule="auto"/>
              <w:jc w:val="both"/>
              <w:rPr>
                <w:sz w:val="22"/>
                <w:szCs w:val="22"/>
              </w:rPr>
            </w:pPr>
            <w:r>
              <w:rPr>
                <w:sz w:val="22"/>
                <w:szCs w:val="22"/>
              </w:rPr>
              <w:t xml:space="preserve">Conduct at least 10 training and capacity building initiatives per year, beginning 2026, </w:t>
            </w:r>
            <w:r w:rsidRPr="00540826">
              <w:rPr>
                <w:sz w:val="22"/>
                <w:szCs w:val="22"/>
              </w:rPr>
              <w:t>to strengthen the technical skills, leadership abilities, and climate knowledge of women including climate-smart agriculture, renewable energy system installation, forest conservation, sustainable fisheries management, waste management, WASH, integrated water management, and clean mobility.</w:t>
            </w:r>
          </w:p>
          <w:p w14:paraId="5AE8D51B" w14:textId="390D7489" w:rsidR="00540826" w:rsidRPr="003F3C2F" w:rsidRDefault="00540826" w:rsidP="00781F44">
            <w:pPr>
              <w:pStyle w:val="NoSpacing"/>
              <w:numPr>
                <w:ilvl w:val="0"/>
                <w:numId w:val="34"/>
              </w:numPr>
              <w:spacing w:line="276" w:lineRule="auto"/>
              <w:jc w:val="both"/>
              <w:rPr>
                <w:sz w:val="22"/>
                <w:szCs w:val="22"/>
              </w:rPr>
            </w:pPr>
            <w:r>
              <w:rPr>
                <w:sz w:val="22"/>
                <w:szCs w:val="22"/>
              </w:rPr>
              <w:t>Ensure that w</w:t>
            </w:r>
            <w:r w:rsidRPr="00540826">
              <w:rPr>
                <w:sz w:val="22"/>
                <w:szCs w:val="22"/>
              </w:rPr>
              <w:t>omen’s participation in the implementation of the NDC is guided by the asset-based “Three-Lens Approach,” which views women as beneficiaries, partners, and leaders in climate action</w:t>
            </w:r>
          </w:p>
        </w:tc>
      </w:tr>
    </w:tbl>
    <w:p w14:paraId="58F6CCA3" w14:textId="77777777" w:rsidR="003F3C2F" w:rsidRDefault="003F3C2F" w:rsidP="003462FE">
      <w:pPr>
        <w:pStyle w:val="NoSpacing"/>
        <w:spacing w:line="276" w:lineRule="auto"/>
        <w:jc w:val="both"/>
        <w:rPr>
          <w:sz w:val="24"/>
          <w:szCs w:val="24"/>
        </w:rPr>
      </w:pPr>
    </w:p>
    <w:p w14:paraId="5FC51FC1" w14:textId="77777777" w:rsidR="00540826" w:rsidRDefault="00540826" w:rsidP="003462FE">
      <w:pPr>
        <w:pStyle w:val="NoSpacing"/>
        <w:spacing w:line="276" w:lineRule="auto"/>
        <w:jc w:val="both"/>
        <w:rPr>
          <w:sz w:val="24"/>
          <w:szCs w:val="24"/>
        </w:rPr>
      </w:pPr>
    </w:p>
    <w:tbl>
      <w:tblPr>
        <w:tblStyle w:val="TableGrid"/>
        <w:tblW w:w="0" w:type="auto"/>
        <w:tblLook w:val="04A0" w:firstRow="1" w:lastRow="0" w:firstColumn="1" w:lastColumn="0" w:noHBand="0" w:noVBand="1"/>
      </w:tblPr>
      <w:tblGrid>
        <w:gridCol w:w="9016"/>
      </w:tblGrid>
      <w:tr w:rsidR="003F3C2F" w:rsidRPr="003F3C2F" w14:paraId="175DE519" w14:textId="77777777" w:rsidTr="00D70D11">
        <w:tc>
          <w:tcPr>
            <w:tcW w:w="9016" w:type="dxa"/>
            <w:shd w:val="clear" w:color="auto" w:fill="126767"/>
          </w:tcPr>
          <w:p w14:paraId="73B239BC" w14:textId="3AA0A865" w:rsidR="003F3C2F" w:rsidRPr="003F3C2F" w:rsidRDefault="003F3C2F" w:rsidP="00D70D11">
            <w:pPr>
              <w:overflowPunct/>
              <w:autoSpaceDE/>
              <w:autoSpaceDN/>
              <w:adjustRightInd/>
              <w:spacing w:line="276" w:lineRule="auto"/>
              <w:jc w:val="center"/>
              <w:textAlignment w:val="auto"/>
              <w:rPr>
                <w:b/>
                <w:bCs/>
                <w:color w:val="FFFFFF" w:themeColor="background1"/>
                <w:sz w:val="22"/>
                <w:szCs w:val="22"/>
              </w:rPr>
            </w:pPr>
            <w:r>
              <w:rPr>
                <w:b/>
                <w:bCs/>
                <w:color w:val="FFFFFF" w:themeColor="background1"/>
                <w:sz w:val="22"/>
                <w:szCs w:val="22"/>
              </w:rPr>
              <w:t>Youth</w:t>
            </w:r>
          </w:p>
        </w:tc>
      </w:tr>
      <w:tr w:rsidR="003F3C2F" w:rsidRPr="003F3C2F" w14:paraId="69BCD4FE" w14:textId="77777777" w:rsidTr="00D70D11">
        <w:tc>
          <w:tcPr>
            <w:tcW w:w="9016" w:type="dxa"/>
            <w:shd w:val="clear" w:color="auto" w:fill="DBE5F1" w:themeFill="accent1" w:themeFillTint="33"/>
          </w:tcPr>
          <w:p w14:paraId="082AB70B" w14:textId="77777777" w:rsidR="003F3C2F" w:rsidRPr="003F3C2F" w:rsidRDefault="003F3C2F" w:rsidP="00D70D11">
            <w:pPr>
              <w:overflowPunct/>
              <w:autoSpaceDE/>
              <w:autoSpaceDN/>
              <w:adjustRightInd/>
              <w:spacing w:line="276" w:lineRule="auto"/>
              <w:jc w:val="center"/>
              <w:textAlignment w:val="auto"/>
              <w:rPr>
                <w:b/>
                <w:bCs/>
                <w:color w:val="FFFFFF" w:themeColor="background1"/>
                <w:sz w:val="22"/>
                <w:szCs w:val="22"/>
              </w:rPr>
            </w:pPr>
            <w:r w:rsidRPr="003F3C2F">
              <w:rPr>
                <w:b/>
                <w:bCs/>
                <w:color w:val="000000" w:themeColor="text1"/>
                <w:sz w:val="22"/>
                <w:szCs w:val="22"/>
              </w:rPr>
              <w:t>Targets</w:t>
            </w:r>
          </w:p>
        </w:tc>
      </w:tr>
      <w:tr w:rsidR="003F3C2F" w:rsidRPr="003F3C2F" w14:paraId="067BC4E6" w14:textId="77777777" w:rsidTr="003F3C2F">
        <w:tc>
          <w:tcPr>
            <w:tcW w:w="9016" w:type="dxa"/>
          </w:tcPr>
          <w:p w14:paraId="645C9D15" w14:textId="3B01D5E3" w:rsidR="003F3C2F" w:rsidRPr="003F3C2F" w:rsidRDefault="003F3C2F" w:rsidP="003F3C2F">
            <w:pPr>
              <w:pStyle w:val="NoSpacing"/>
              <w:spacing w:line="276" w:lineRule="auto"/>
              <w:jc w:val="both"/>
              <w:rPr>
                <w:sz w:val="22"/>
                <w:szCs w:val="22"/>
              </w:rPr>
            </w:pPr>
            <w:r w:rsidRPr="003F3C2F">
              <w:rPr>
                <w:sz w:val="22"/>
                <w:szCs w:val="22"/>
              </w:rPr>
              <w:t>Liberia remains exceptionally vulnerable to climate change and those who are most affected include young people, women, children, and PWDs. Historically, their involvement in decision-making processes related to combating climate change has been minimal. This pattern has seemingly contributed to deepening vulnerabilities, limiting opportunities for participation and leadership in climate action. The targets include:</w:t>
            </w:r>
          </w:p>
          <w:p w14:paraId="1AFF1BD2" w14:textId="77777777" w:rsidR="003F3C2F" w:rsidRPr="003F3C2F" w:rsidRDefault="003F3C2F" w:rsidP="00781F44">
            <w:pPr>
              <w:pStyle w:val="NoSpacing"/>
              <w:numPr>
                <w:ilvl w:val="0"/>
                <w:numId w:val="34"/>
              </w:numPr>
              <w:spacing w:line="276" w:lineRule="auto"/>
              <w:jc w:val="both"/>
              <w:rPr>
                <w:sz w:val="22"/>
                <w:szCs w:val="22"/>
              </w:rPr>
            </w:pPr>
            <w:r w:rsidRPr="003F3C2F">
              <w:rPr>
                <w:sz w:val="22"/>
                <w:szCs w:val="22"/>
              </w:rPr>
              <w:t>Ensure that at least 40 percent of agricultural financing is directed toward initiatives led by youth.</w:t>
            </w:r>
          </w:p>
          <w:p w14:paraId="2FCAA0D6" w14:textId="64110381" w:rsidR="003F3C2F" w:rsidRPr="00540826" w:rsidRDefault="003F3C2F" w:rsidP="00781F44">
            <w:pPr>
              <w:pStyle w:val="NoSpacing"/>
              <w:numPr>
                <w:ilvl w:val="0"/>
                <w:numId w:val="34"/>
              </w:numPr>
              <w:spacing w:line="276" w:lineRule="auto"/>
              <w:jc w:val="both"/>
              <w:rPr>
                <w:sz w:val="22"/>
                <w:szCs w:val="22"/>
              </w:rPr>
            </w:pPr>
            <w:r w:rsidRPr="003F3C2F">
              <w:rPr>
                <w:sz w:val="22"/>
                <w:szCs w:val="22"/>
              </w:rPr>
              <w:t>By 2030, a youth representative will be appointed to the NCCSC as a means of giving a voice to the next generation at the highest level of decision-making for climate change.</w:t>
            </w:r>
          </w:p>
          <w:p w14:paraId="1475CE65" w14:textId="77777777" w:rsidR="003F3C2F" w:rsidRPr="003F3C2F" w:rsidRDefault="003F3C2F" w:rsidP="00D70D11">
            <w:pPr>
              <w:overflowPunct/>
              <w:autoSpaceDE/>
              <w:autoSpaceDN/>
              <w:adjustRightInd/>
              <w:spacing w:line="276" w:lineRule="auto"/>
              <w:jc w:val="center"/>
              <w:textAlignment w:val="auto"/>
              <w:rPr>
                <w:b/>
                <w:bCs/>
                <w:color w:val="000000" w:themeColor="text1"/>
                <w:sz w:val="22"/>
                <w:szCs w:val="22"/>
              </w:rPr>
            </w:pPr>
          </w:p>
        </w:tc>
      </w:tr>
      <w:tr w:rsidR="00540826" w:rsidRPr="003F3C2F" w14:paraId="17F704E1" w14:textId="77777777" w:rsidTr="003F3C2F">
        <w:tc>
          <w:tcPr>
            <w:tcW w:w="9016" w:type="dxa"/>
          </w:tcPr>
          <w:p w14:paraId="15812F0F" w14:textId="1ED8EE60" w:rsidR="00540826" w:rsidRPr="003F3C2F" w:rsidRDefault="00540826" w:rsidP="00540826">
            <w:pPr>
              <w:pStyle w:val="NoSpacing"/>
              <w:spacing w:line="276" w:lineRule="auto"/>
              <w:jc w:val="center"/>
              <w:rPr>
                <w:sz w:val="22"/>
                <w:szCs w:val="22"/>
              </w:rPr>
            </w:pPr>
            <w:r w:rsidRPr="003F3C2F">
              <w:rPr>
                <w:b/>
                <w:bCs/>
                <w:color w:val="000000" w:themeColor="text1"/>
                <w:sz w:val="22"/>
                <w:szCs w:val="22"/>
              </w:rPr>
              <w:lastRenderedPageBreak/>
              <w:t>Actions and Policy Measures</w:t>
            </w:r>
          </w:p>
        </w:tc>
      </w:tr>
      <w:tr w:rsidR="003F3C2F" w:rsidRPr="003F3C2F" w14:paraId="49FF56B8" w14:textId="77777777" w:rsidTr="003F3C2F">
        <w:tc>
          <w:tcPr>
            <w:tcW w:w="9016" w:type="dxa"/>
          </w:tcPr>
          <w:p w14:paraId="39FD6428" w14:textId="4B36ED25" w:rsidR="003F3C2F" w:rsidRPr="003F3C2F" w:rsidRDefault="003F3C2F" w:rsidP="003F3C2F">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72F9339F" w14:textId="77777777" w:rsidR="003F3C2F" w:rsidRPr="00540826" w:rsidRDefault="003F3C2F" w:rsidP="003F3C2F">
            <w:pPr>
              <w:pStyle w:val="NoSpacing"/>
              <w:spacing w:line="276" w:lineRule="auto"/>
              <w:jc w:val="both"/>
              <w:rPr>
                <w:sz w:val="8"/>
                <w:szCs w:val="8"/>
              </w:rPr>
            </w:pPr>
          </w:p>
          <w:p w14:paraId="6E6ED540" w14:textId="77777777" w:rsidR="003F3C2F" w:rsidRPr="003F3C2F" w:rsidRDefault="003F3C2F" w:rsidP="00781F44">
            <w:pPr>
              <w:pStyle w:val="NoSpacing"/>
              <w:numPr>
                <w:ilvl w:val="0"/>
                <w:numId w:val="34"/>
              </w:numPr>
              <w:spacing w:line="276" w:lineRule="auto"/>
              <w:jc w:val="both"/>
              <w:rPr>
                <w:sz w:val="22"/>
                <w:szCs w:val="22"/>
              </w:rPr>
            </w:pPr>
            <w:r w:rsidRPr="003F3C2F">
              <w:rPr>
                <w:sz w:val="22"/>
                <w:szCs w:val="22"/>
              </w:rPr>
              <w:t>Ensure that at least 1 young person is represented on the forest management bodies at the national and local levels.</w:t>
            </w:r>
          </w:p>
          <w:p w14:paraId="1FDBB018" w14:textId="2BED5916" w:rsidR="003F3C2F" w:rsidRPr="003F3C2F" w:rsidRDefault="003F3C2F" w:rsidP="00781F44">
            <w:pPr>
              <w:pStyle w:val="NoSpacing"/>
              <w:numPr>
                <w:ilvl w:val="0"/>
                <w:numId w:val="34"/>
              </w:numPr>
              <w:spacing w:line="276" w:lineRule="auto"/>
              <w:jc w:val="both"/>
              <w:rPr>
                <w:sz w:val="22"/>
                <w:szCs w:val="22"/>
              </w:rPr>
            </w:pPr>
            <w:r w:rsidRPr="003F3C2F">
              <w:rPr>
                <w:sz w:val="22"/>
                <w:szCs w:val="22"/>
              </w:rPr>
              <w:t xml:space="preserve">Train more than 5,000 youth will be trained on climate actions including renewable energy technology development, forest conservation, waste management, coastal ecosystem adaptation techniques, WASH, integrated water management, clean mobility, etc. </w:t>
            </w:r>
          </w:p>
        </w:tc>
      </w:tr>
    </w:tbl>
    <w:p w14:paraId="2019FADA" w14:textId="77777777" w:rsidR="00A64753" w:rsidRPr="003F3C2F" w:rsidRDefault="00A64753" w:rsidP="00B813B4">
      <w:pPr>
        <w:pStyle w:val="BodyText"/>
        <w:ind w:left="0"/>
        <w:rPr>
          <w:rFonts w:ascii="Times New Roman" w:hAnsi="Times New Roman"/>
        </w:rPr>
      </w:pPr>
      <w:bookmarkStart w:id="54" w:name="_Toc200425233"/>
    </w:p>
    <w:tbl>
      <w:tblPr>
        <w:tblStyle w:val="TableGrid"/>
        <w:tblW w:w="0" w:type="auto"/>
        <w:tblLook w:val="04A0" w:firstRow="1" w:lastRow="0" w:firstColumn="1" w:lastColumn="0" w:noHBand="0" w:noVBand="1"/>
      </w:tblPr>
      <w:tblGrid>
        <w:gridCol w:w="9016"/>
      </w:tblGrid>
      <w:tr w:rsidR="00A64753" w:rsidRPr="003F3C2F" w14:paraId="05B957E0" w14:textId="77777777" w:rsidTr="003F3C2F">
        <w:tc>
          <w:tcPr>
            <w:tcW w:w="9016" w:type="dxa"/>
            <w:shd w:val="clear" w:color="auto" w:fill="126767"/>
          </w:tcPr>
          <w:p w14:paraId="47F10E2B" w14:textId="1DC42C6F" w:rsidR="00A64753" w:rsidRPr="003F3C2F" w:rsidRDefault="003F3C2F" w:rsidP="003F3C2F">
            <w:pPr>
              <w:overflowPunct/>
              <w:autoSpaceDE/>
              <w:autoSpaceDN/>
              <w:adjustRightInd/>
              <w:spacing w:line="276" w:lineRule="auto"/>
              <w:jc w:val="center"/>
              <w:textAlignment w:val="auto"/>
              <w:rPr>
                <w:b/>
                <w:bCs/>
                <w:color w:val="FFFFFF" w:themeColor="background1"/>
                <w:sz w:val="22"/>
                <w:szCs w:val="22"/>
              </w:rPr>
            </w:pPr>
            <w:r w:rsidRPr="003F3C2F">
              <w:rPr>
                <w:b/>
                <w:bCs/>
                <w:color w:val="FFFFFF" w:themeColor="background1"/>
                <w:sz w:val="22"/>
                <w:szCs w:val="22"/>
              </w:rPr>
              <w:t xml:space="preserve">Children </w:t>
            </w:r>
          </w:p>
        </w:tc>
      </w:tr>
      <w:tr w:rsidR="00A64753" w:rsidRPr="003F3C2F" w14:paraId="132B3E85" w14:textId="77777777" w:rsidTr="003F3C2F">
        <w:tc>
          <w:tcPr>
            <w:tcW w:w="9016" w:type="dxa"/>
            <w:shd w:val="clear" w:color="auto" w:fill="DBE5F1" w:themeFill="accent1" w:themeFillTint="33"/>
          </w:tcPr>
          <w:p w14:paraId="326CCE18" w14:textId="7A724A08" w:rsidR="00A64753" w:rsidRPr="003F3C2F" w:rsidRDefault="003F3C2F" w:rsidP="003F3C2F">
            <w:pPr>
              <w:overflowPunct/>
              <w:autoSpaceDE/>
              <w:autoSpaceDN/>
              <w:adjustRightInd/>
              <w:spacing w:line="276" w:lineRule="auto"/>
              <w:jc w:val="center"/>
              <w:textAlignment w:val="auto"/>
              <w:rPr>
                <w:b/>
                <w:bCs/>
                <w:color w:val="FFFFFF" w:themeColor="background1"/>
                <w:sz w:val="22"/>
                <w:szCs w:val="22"/>
              </w:rPr>
            </w:pPr>
            <w:r w:rsidRPr="003F3C2F">
              <w:rPr>
                <w:b/>
                <w:bCs/>
                <w:color w:val="000000" w:themeColor="text1"/>
                <w:sz w:val="22"/>
                <w:szCs w:val="22"/>
              </w:rPr>
              <w:t>Targets</w:t>
            </w:r>
          </w:p>
        </w:tc>
      </w:tr>
      <w:tr w:rsidR="00A64753" w:rsidRPr="003F3C2F" w14:paraId="0C37AACE" w14:textId="77777777" w:rsidTr="00A64753">
        <w:tc>
          <w:tcPr>
            <w:tcW w:w="9016" w:type="dxa"/>
          </w:tcPr>
          <w:p w14:paraId="44D64898" w14:textId="52A34D28" w:rsidR="003F3C2F" w:rsidRPr="003F3C2F" w:rsidRDefault="003F3C2F" w:rsidP="003F3C2F">
            <w:pPr>
              <w:pStyle w:val="BodyText"/>
              <w:ind w:left="0"/>
              <w:rPr>
                <w:rFonts w:ascii="Times New Roman" w:hAnsi="Times New Roman"/>
                <w:sz w:val="22"/>
                <w:szCs w:val="22"/>
              </w:rPr>
            </w:pPr>
            <w:r w:rsidRPr="003F3C2F">
              <w:rPr>
                <w:rFonts w:ascii="Times New Roman" w:hAnsi="Times New Roman"/>
                <w:sz w:val="22"/>
                <w:szCs w:val="22"/>
              </w:rPr>
              <w:t>Children in Liberia are particularly vulnerable to environmental harm and climate change due to several factors. Many families in rural Liberia rely on farming for their livelihoods, and when harvests fail, they struggle to afford school fees, leading to increased dropout rates among children.  Additionally, climate-related disasters such as floods can destroy schools and infrastructure, making education even more inaccessible. Young people in Liberia have been advocating for greater inclusion in climate action discussions, emphasizing that they are among the most affected by environmental changes. The Targets include:</w:t>
            </w:r>
          </w:p>
          <w:p w14:paraId="396F442A" w14:textId="2328B408" w:rsidR="003F3C2F" w:rsidRPr="003F3C2F" w:rsidRDefault="003F3C2F" w:rsidP="00781F44">
            <w:pPr>
              <w:pStyle w:val="ListParagraph"/>
              <w:numPr>
                <w:ilvl w:val="0"/>
                <w:numId w:val="33"/>
              </w:numPr>
              <w:spacing w:after="160" w:line="278" w:lineRule="auto"/>
              <w:jc w:val="both"/>
              <w:rPr>
                <w:rFonts w:ascii="Times New Roman" w:eastAsia="DengXian" w:hAnsi="Times New Roman" w:cs="Times New Roman"/>
                <w:kern w:val="2"/>
                <w:lang w:eastAsia="zh-CN"/>
                <w14:ligatures w14:val="standardContextual"/>
              </w:rPr>
            </w:pPr>
            <w:r w:rsidRPr="003F3C2F">
              <w:rPr>
                <w:rFonts w:ascii="Times New Roman" w:eastAsia="DengXian" w:hAnsi="Times New Roman" w:cs="Times New Roman"/>
                <w:kern w:val="2"/>
                <w:lang w:eastAsia="zh-CN"/>
                <w14:ligatures w14:val="standardContextual"/>
              </w:rPr>
              <w:t>By 2030, integrate climate change into 100% of primary and secondary school curricula; at least 50% of schools have emergency preparedness plans in place.</w:t>
            </w:r>
          </w:p>
          <w:p w14:paraId="7C96E36F" w14:textId="77777777" w:rsidR="003F3C2F" w:rsidRPr="003F3C2F" w:rsidRDefault="003F3C2F" w:rsidP="00781F44">
            <w:pPr>
              <w:pStyle w:val="ListParagraph"/>
              <w:numPr>
                <w:ilvl w:val="0"/>
                <w:numId w:val="33"/>
              </w:numPr>
              <w:spacing w:after="160" w:line="278" w:lineRule="auto"/>
              <w:jc w:val="both"/>
              <w:rPr>
                <w:rFonts w:ascii="Times New Roman" w:eastAsia="DengXian" w:hAnsi="Times New Roman" w:cs="Times New Roman"/>
                <w:kern w:val="2"/>
                <w:lang w:eastAsia="zh-CN"/>
                <w14:ligatures w14:val="standardContextual"/>
              </w:rPr>
            </w:pPr>
            <w:r w:rsidRPr="003F3C2F">
              <w:rPr>
                <w:rFonts w:ascii="Times New Roman" w:eastAsia="DengXian" w:hAnsi="Times New Roman" w:cs="Times New Roman"/>
                <w:kern w:val="2"/>
                <w:lang w:eastAsia="zh-CN"/>
                <w14:ligatures w14:val="standardContextual"/>
              </w:rPr>
              <w:t>By 2030, reduce climate-related disease outbreaks (like cholera) among children by 50% by 2030.</w:t>
            </w:r>
          </w:p>
          <w:p w14:paraId="43A013E8" w14:textId="77777777" w:rsidR="003F3C2F" w:rsidRPr="003F3C2F" w:rsidRDefault="003F3C2F" w:rsidP="00781F44">
            <w:pPr>
              <w:pStyle w:val="ListParagraph"/>
              <w:numPr>
                <w:ilvl w:val="0"/>
                <w:numId w:val="33"/>
              </w:numPr>
              <w:spacing w:after="160" w:line="278" w:lineRule="auto"/>
              <w:jc w:val="both"/>
              <w:rPr>
                <w:rFonts w:ascii="Times New Roman" w:eastAsia="DengXian" w:hAnsi="Times New Roman" w:cs="Times New Roman"/>
                <w:kern w:val="2"/>
                <w:lang w:eastAsia="zh-CN"/>
                <w14:ligatures w14:val="standardContextual"/>
              </w:rPr>
            </w:pPr>
            <w:r w:rsidRPr="003F3C2F">
              <w:rPr>
                <w:rFonts w:ascii="Times New Roman" w:eastAsia="DengXian" w:hAnsi="Times New Roman" w:cs="Times New Roman"/>
                <w:kern w:val="2"/>
                <w:lang w:eastAsia="zh-CN"/>
                <w14:ligatures w14:val="standardContextual"/>
              </w:rPr>
              <w:t>Establish a shock-responsive cash transfer that reaches at least 100,000 children during climate emergencies by 2027.</w:t>
            </w:r>
          </w:p>
          <w:p w14:paraId="7D0A38F3" w14:textId="64BD342B" w:rsidR="00A64753" w:rsidRPr="003F3C2F" w:rsidRDefault="003F3C2F" w:rsidP="00781F44">
            <w:pPr>
              <w:pStyle w:val="ListParagraph"/>
              <w:numPr>
                <w:ilvl w:val="0"/>
                <w:numId w:val="33"/>
              </w:numPr>
              <w:spacing w:after="160" w:line="278" w:lineRule="auto"/>
              <w:jc w:val="both"/>
              <w:rPr>
                <w:rFonts w:ascii="Times New Roman" w:eastAsia="DengXian" w:hAnsi="Times New Roman" w:cs="Times New Roman"/>
                <w:kern w:val="2"/>
                <w:sz w:val="24"/>
                <w:szCs w:val="24"/>
                <w:lang w:eastAsia="zh-CN"/>
                <w14:ligatures w14:val="standardContextual"/>
              </w:rPr>
            </w:pPr>
            <w:r w:rsidRPr="003F3C2F">
              <w:rPr>
                <w:rFonts w:ascii="Times New Roman" w:eastAsia="DengXian" w:hAnsi="Times New Roman" w:cs="Times New Roman"/>
                <w:kern w:val="2"/>
                <w:lang w:eastAsia="zh-CN"/>
                <w14:ligatures w14:val="standardContextual"/>
              </w:rPr>
              <w:t>Protect 500 water points from flood contamination in vulnerable communities within 5 years (2025-2030).</w:t>
            </w:r>
            <w:r w:rsidRPr="003F3C2F">
              <w:rPr>
                <w:rFonts w:ascii="Times New Roman" w:eastAsia="DengXian" w:hAnsi="Times New Roman" w:cs="Times New Roman"/>
                <w:kern w:val="2"/>
                <w:sz w:val="24"/>
                <w:szCs w:val="24"/>
                <w:lang w:eastAsia="zh-CN"/>
                <w14:ligatures w14:val="standardContextual"/>
              </w:rPr>
              <w:t xml:space="preserve"> </w:t>
            </w:r>
          </w:p>
        </w:tc>
      </w:tr>
      <w:tr w:rsidR="00A64753" w:rsidRPr="003F3C2F" w14:paraId="7A0E38DE" w14:textId="77777777" w:rsidTr="003F3C2F">
        <w:tc>
          <w:tcPr>
            <w:tcW w:w="9016" w:type="dxa"/>
            <w:shd w:val="clear" w:color="auto" w:fill="DBE5F1" w:themeFill="accent1" w:themeFillTint="33"/>
          </w:tcPr>
          <w:p w14:paraId="4EA0634C" w14:textId="033D94BF" w:rsidR="00A64753" w:rsidRPr="003F3C2F" w:rsidRDefault="003F3C2F" w:rsidP="003F3C2F">
            <w:pPr>
              <w:overflowPunct/>
              <w:autoSpaceDE/>
              <w:autoSpaceDN/>
              <w:adjustRightInd/>
              <w:spacing w:line="276" w:lineRule="auto"/>
              <w:jc w:val="center"/>
              <w:textAlignment w:val="auto"/>
            </w:pPr>
            <w:r w:rsidRPr="003F3C2F">
              <w:rPr>
                <w:b/>
                <w:bCs/>
                <w:color w:val="000000" w:themeColor="text1"/>
                <w:sz w:val="22"/>
                <w:szCs w:val="22"/>
              </w:rPr>
              <w:t>Actions and Policy Measures</w:t>
            </w:r>
          </w:p>
        </w:tc>
      </w:tr>
      <w:tr w:rsidR="003F3C2F" w:rsidRPr="003F3C2F" w14:paraId="5C63125F" w14:textId="77777777" w:rsidTr="003F3C2F">
        <w:tc>
          <w:tcPr>
            <w:tcW w:w="9016" w:type="dxa"/>
          </w:tcPr>
          <w:p w14:paraId="2C62597A" w14:textId="4B7F7776" w:rsidR="003F3C2F" w:rsidRPr="003F3C2F" w:rsidRDefault="003F3C2F" w:rsidP="003F3C2F">
            <w:pPr>
              <w:overflowPunct/>
              <w:autoSpaceDE/>
              <w:autoSpaceDN/>
              <w:adjustRightInd/>
              <w:spacing w:line="276" w:lineRule="auto"/>
              <w:jc w:val="both"/>
              <w:textAlignment w:val="auto"/>
              <w:rPr>
                <w:sz w:val="22"/>
                <w:szCs w:val="22"/>
              </w:rPr>
            </w:pPr>
            <w:r w:rsidRPr="003F3C2F">
              <w:rPr>
                <w:sz w:val="22"/>
                <w:szCs w:val="22"/>
              </w:rPr>
              <w:t>The following actions and policy measures shall be taken to meet the targets:</w:t>
            </w:r>
          </w:p>
          <w:p w14:paraId="6261D5D5" w14:textId="33B5BAE2" w:rsidR="003F3C2F" w:rsidRPr="003F3C2F" w:rsidRDefault="003F3C2F" w:rsidP="00781F44">
            <w:pPr>
              <w:pStyle w:val="BodyText"/>
              <w:numPr>
                <w:ilvl w:val="0"/>
                <w:numId w:val="32"/>
              </w:numPr>
              <w:rPr>
                <w:rFonts w:ascii="Times New Roman" w:hAnsi="Times New Roman"/>
                <w:bCs/>
                <w:sz w:val="22"/>
                <w:szCs w:val="22"/>
                <w:lang w:val="en-US"/>
              </w:rPr>
            </w:pPr>
            <w:r>
              <w:rPr>
                <w:rFonts w:ascii="Times New Roman" w:hAnsi="Times New Roman"/>
                <w:bCs/>
                <w:sz w:val="22"/>
                <w:szCs w:val="22"/>
                <w:lang w:val="en-US"/>
              </w:rPr>
              <w:t>Develop</w:t>
            </w:r>
            <w:r w:rsidRPr="003F3C2F">
              <w:rPr>
                <w:rFonts w:ascii="Times New Roman" w:hAnsi="Times New Roman"/>
                <w:bCs/>
                <w:sz w:val="22"/>
                <w:szCs w:val="22"/>
                <w:lang w:val="en-US"/>
              </w:rPr>
              <w:t xml:space="preserve"> a pipeline of adaptation projects focusing on children (such as climate-resilient schools) to submit to the Green Climate Fund or Adaptation Fund. The government should work with UNICEF and partners to cost these interventions and include them in NDC investment plans. </w:t>
            </w:r>
          </w:p>
          <w:p w14:paraId="5E5532CF" w14:textId="77777777" w:rsidR="003F3C2F" w:rsidRPr="003F3C2F" w:rsidRDefault="003F3C2F" w:rsidP="00781F44">
            <w:pPr>
              <w:pStyle w:val="BodyText"/>
              <w:numPr>
                <w:ilvl w:val="0"/>
                <w:numId w:val="32"/>
              </w:numPr>
              <w:rPr>
                <w:rFonts w:ascii="Times New Roman" w:hAnsi="Times New Roman"/>
                <w:bCs/>
                <w:sz w:val="22"/>
                <w:szCs w:val="22"/>
                <w:lang w:val="en-US"/>
              </w:rPr>
            </w:pPr>
            <w:r w:rsidRPr="003F3C2F">
              <w:rPr>
                <w:rFonts w:ascii="Times New Roman" w:hAnsi="Times New Roman"/>
                <w:bCs/>
                <w:sz w:val="22"/>
                <w:szCs w:val="22"/>
                <w:lang w:val="en-US"/>
              </w:rPr>
              <w:t xml:space="preserve">Conduct age-disaggregated vulnerability assessments to reflect systemic disadvantages faced by younger populations (poor nutrition, lack of adaptive capacity).  </w:t>
            </w:r>
          </w:p>
          <w:p w14:paraId="1A3AC9F9" w14:textId="6F391C95" w:rsidR="003F3C2F" w:rsidRPr="003F3C2F" w:rsidRDefault="003F3C2F" w:rsidP="00781F44">
            <w:pPr>
              <w:pStyle w:val="BodyText"/>
              <w:numPr>
                <w:ilvl w:val="0"/>
                <w:numId w:val="32"/>
              </w:numPr>
              <w:tabs>
                <w:tab w:val="clear" w:pos="720"/>
              </w:tabs>
              <w:rPr>
                <w:rFonts w:ascii="Times New Roman" w:hAnsi="Times New Roman"/>
                <w:bCs/>
                <w:sz w:val="22"/>
                <w:szCs w:val="22"/>
                <w:lang w:val="en-US"/>
              </w:rPr>
            </w:pPr>
            <w:r>
              <w:rPr>
                <w:rFonts w:ascii="Times New Roman" w:hAnsi="Times New Roman"/>
                <w:bCs/>
                <w:sz w:val="22"/>
                <w:szCs w:val="22"/>
                <w:lang w:val="en-US"/>
              </w:rPr>
              <w:t>Track</w:t>
            </w:r>
            <w:r w:rsidRPr="003F3C2F">
              <w:rPr>
                <w:rFonts w:ascii="Times New Roman" w:hAnsi="Times New Roman"/>
                <w:bCs/>
                <w:sz w:val="22"/>
                <w:szCs w:val="22"/>
                <w:lang w:val="en-US"/>
              </w:rPr>
              <w:t xml:space="preserve"> specific indicators of children’s resilience (e.g. school days lost to climate events, child morbidity in heatwaves, coverage of child social protection). The progress reports such as the NDC implementation reports or the annual Climate Change reports must have a section on children and youth. </w:t>
            </w:r>
          </w:p>
        </w:tc>
      </w:tr>
    </w:tbl>
    <w:p w14:paraId="1F649E76" w14:textId="77777777" w:rsidR="00A64753" w:rsidRPr="003F3C2F" w:rsidRDefault="00A64753" w:rsidP="00B813B4">
      <w:pPr>
        <w:pStyle w:val="BodyText"/>
        <w:ind w:left="0"/>
        <w:rPr>
          <w:rFonts w:ascii="Times New Roman" w:hAnsi="Times New Roman"/>
        </w:rPr>
      </w:pPr>
    </w:p>
    <w:bookmarkEnd w:id="54"/>
    <w:p w14:paraId="2F8B6496" w14:textId="77777777" w:rsidR="00B813B4" w:rsidRPr="003F3C2F" w:rsidRDefault="00B813B4" w:rsidP="00A64753">
      <w:pPr>
        <w:pStyle w:val="BodyText"/>
        <w:ind w:left="720"/>
        <w:rPr>
          <w:rFonts w:ascii="Times New Roman" w:hAnsi="Times New Roman"/>
          <w:bCs/>
          <w:lang w:val="en-US"/>
        </w:rPr>
      </w:pPr>
    </w:p>
    <w:p w14:paraId="309CAB81" w14:textId="77777777" w:rsidR="00B813B4" w:rsidRPr="003F3C2F" w:rsidRDefault="00B813B4" w:rsidP="00E648F2">
      <w:pPr>
        <w:pStyle w:val="BodyText"/>
        <w:ind w:left="0"/>
        <w:rPr>
          <w:rFonts w:ascii="Times New Roman" w:hAnsi="Times New Roman"/>
        </w:rPr>
      </w:pPr>
    </w:p>
    <w:p w14:paraId="5D383202" w14:textId="77777777" w:rsidR="00B813B4" w:rsidRPr="003F3C2F" w:rsidRDefault="00B813B4" w:rsidP="00E648F2">
      <w:pPr>
        <w:pStyle w:val="BodyText"/>
        <w:ind w:left="0"/>
        <w:rPr>
          <w:rFonts w:ascii="Times New Roman" w:hAnsi="Times New Roman"/>
        </w:rPr>
      </w:pPr>
    </w:p>
    <w:p w14:paraId="600C2EBE" w14:textId="2E3D9051" w:rsidR="00874B30" w:rsidRPr="003F3C2F" w:rsidRDefault="00317B7D" w:rsidP="000369D5">
      <w:pPr>
        <w:pStyle w:val="Heading2"/>
        <w:numPr>
          <w:ilvl w:val="1"/>
          <w:numId w:val="12"/>
        </w:numPr>
        <w:spacing w:before="240" w:after="240" w:line="276" w:lineRule="auto"/>
      </w:pPr>
      <w:bookmarkStart w:id="55" w:name="_Toc205444894"/>
      <w:r w:rsidRPr="003F3C2F">
        <w:lastRenderedPageBreak/>
        <w:t xml:space="preserve">Fairness and Ambition </w:t>
      </w:r>
      <w:r w:rsidR="00B60B5A" w:rsidRPr="003F3C2F">
        <w:t>of Liberia’s Contributions</w:t>
      </w:r>
      <w:bookmarkEnd w:id="55"/>
    </w:p>
    <w:p w14:paraId="6DD579A4" w14:textId="52857383" w:rsidR="00874B30" w:rsidRPr="003F3C2F" w:rsidRDefault="00874B30" w:rsidP="00E648F2">
      <w:pPr>
        <w:pStyle w:val="NoSpacing"/>
        <w:spacing w:line="276" w:lineRule="auto"/>
        <w:jc w:val="both"/>
        <w:rPr>
          <w:sz w:val="24"/>
          <w:szCs w:val="24"/>
        </w:rPr>
      </w:pPr>
      <w:r w:rsidRPr="003F3C2F">
        <w:rPr>
          <w:sz w:val="24"/>
          <w:szCs w:val="24"/>
        </w:rPr>
        <w:t>Liberia’s Third Nationally Determined Contribution (NDC 3.0) reflects a concerted effort to align its climate commitments with the principles of the Paris Agreement, demonstrating both fairness and increasing ambition despite the country's limited capacity and significant development challenges. As a Least Developed Country (LDC) with negligible global greenhouse gas (GHG) emissions</w:t>
      </w:r>
      <w:r w:rsidR="000369D5" w:rsidRPr="003F3C2F">
        <w:rPr>
          <w:sz w:val="24"/>
          <w:szCs w:val="24"/>
        </w:rPr>
        <w:t>,</w:t>
      </w:r>
      <w:r w:rsidRPr="003F3C2F">
        <w:rPr>
          <w:sz w:val="24"/>
          <w:szCs w:val="24"/>
        </w:rPr>
        <w:t xml:space="preserve"> which </w:t>
      </w:r>
      <w:r w:rsidR="000369D5" w:rsidRPr="003F3C2F">
        <w:rPr>
          <w:sz w:val="24"/>
          <w:szCs w:val="24"/>
        </w:rPr>
        <w:t>are</w:t>
      </w:r>
      <w:r w:rsidRPr="003F3C2F">
        <w:rPr>
          <w:sz w:val="24"/>
          <w:szCs w:val="24"/>
        </w:rPr>
        <w:t xml:space="preserve"> estimated at just 0.03% of the global total, Liberia’s updated NDC highlights a strong moral commitment to climate action (UNFCCC, 2024).</w:t>
      </w:r>
    </w:p>
    <w:p w14:paraId="31A86D6F" w14:textId="77777777" w:rsidR="00874B30" w:rsidRPr="003F3C2F" w:rsidRDefault="00874B30" w:rsidP="00E648F2">
      <w:pPr>
        <w:pStyle w:val="NoSpacing"/>
        <w:spacing w:line="276" w:lineRule="auto"/>
        <w:jc w:val="both"/>
        <w:rPr>
          <w:sz w:val="24"/>
          <w:szCs w:val="24"/>
        </w:rPr>
      </w:pPr>
    </w:p>
    <w:p w14:paraId="257B0F2C" w14:textId="77777777" w:rsidR="00874B30" w:rsidRPr="003F3C2F" w:rsidRDefault="00874B30" w:rsidP="00E648F2">
      <w:pPr>
        <w:pStyle w:val="NoSpacing"/>
        <w:spacing w:line="276" w:lineRule="auto"/>
        <w:jc w:val="both"/>
        <w:rPr>
          <w:sz w:val="24"/>
          <w:szCs w:val="24"/>
        </w:rPr>
      </w:pPr>
      <w:r w:rsidRPr="003F3C2F">
        <w:rPr>
          <w:sz w:val="24"/>
          <w:szCs w:val="24"/>
        </w:rPr>
        <w:t xml:space="preserve">Fairness in Liberia’s NDC is evident in its emphasis on equity, historical responsibility, and capability. The country acknowledges its minimal historical contribution to climate change and its high vulnerability to climate impacts, particularly in coastal areas, agriculture, and health sectors. Despite this, </w:t>
      </w:r>
      <w:r w:rsidRPr="003F3C2F">
        <w:rPr>
          <w:sz w:val="24"/>
          <w:szCs w:val="24"/>
          <w:highlight w:val="yellow"/>
        </w:rPr>
        <w:t>Liberia pledges mitigation actions including a conditional 64% reduction in GHG emissions by 2030 below business-as-usual (BAU) levels</w:t>
      </w:r>
      <w:r w:rsidRPr="003F3C2F">
        <w:rPr>
          <w:sz w:val="24"/>
          <w:szCs w:val="24"/>
        </w:rPr>
        <w:t>, contingent on international support (Republic of Liberia, 2024). This approach balances national circumstances with global expectations and adheres to the principle of common but differentiated responsibilities (CBDR).</w:t>
      </w:r>
    </w:p>
    <w:p w14:paraId="7D01C846" w14:textId="77777777" w:rsidR="00874B30" w:rsidRPr="003F3C2F" w:rsidRDefault="00874B30" w:rsidP="00E648F2">
      <w:pPr>
        <w:pStyle w:val="NoSpacing"/>
        <w:spacing w:line="276" w:lineRule="auto"/>
        <w:jc w:val="both"/>
        <w:rPr>
          <w:sz w:val="24"/>
          <w:szCs w:val="24"/>
        </w:rPr>
      </w:pPr>
    </w:p>
    <w:p w14:paraId="486D1599" w14:textId="53019E33" w:rsidR="00874B30" w:rsidRPr="003F3C2F" w:rsidRDefault="00874B30" w:rsidP="00E648F2">
      <w:pPr>
        <w:pStyle w:val="NoSpacing"/>
        <w:spacing w:line="276" w:lineRule="auto"/>
        <w:jc w:val="both"/>
        <w:rPr>
          <w:sz w:val="24"/>
          <w:szCs w:val="24"/>
        </w:rPr>
      </w:pPr>
      <w:r w:rsidRPr="003F3C2F">
        <w:rPr>
          <w:sz w:val="24"/>
          <w:szCs w:val="24"/>
        </w:rPr>
        <w:t xml:space="preserve">Ambition is shown through sectoral expansion and integration of cross-cutting priorities. Compared to its NDC 2.0, Liberia’s 3.0 submission expands mitigation efforts beyond forestry and energy to include transport and waste management, and introduces measurable adaptation co-benefits. The inclusion of gender, children, youth, and </w:t>
      </w:r>
      <w:r w:rsidR="000369D5" w:rsidRPr="003F3C2F">
        <w:rPr>
          <w:sz w:val="24"/>
          <w:szCs w:val="24"/>
        </w:rPr>
        <w:t>local communities’</w:t>
      </w:r>
      <w:r w:rsidRPr="003F3C2F">
        <w:rPr>
          <w:sz w:val="24"/>
          <w:szCs w:val="24"/>
        </w:rPr>
        <w:t xml:space="preserve"> engagement, etc also marks a progressive shift toward inclusive climate governance (Republic of Liberia, 2024). </w:t>
      </w:r>
    </w:p>
    <w:p w14:paraId="1BE26547" w14:textId="77777777" w:rsidR="00874B30" w:rsidRPr="003F3C2F" w:rsidRDefault="00874B30" w:rsidP="00E648F2">
      <w:pPr>
        <w:pStyle w:val="NoSpacing"/>
        <w:spacing w:line="276" w:lineRule="auto"/>
        <w:jc w:val="both"/>
        <w:rPr>
          <w:sz w:val="24"/>
          <w:szCs w:val="24"/>
        </w:rPr>
      </w:pPr>
    </w:p>
    <w:p w14:paraId="57540E56" w14:textId="77777777" w:rsidR="00874B30" w:rsidRPr="003F3C2F" w:rsidRDefault="00874B30" w:rsidP="00E648F2">
      <w:pPr>
        <w:pStyle w:val="NoSpacing"/>
        <w:spacing w:line="276" w:lineRule="auto"/>
        <w:jc w:val="both"/>
        <w:rPr>
          <w:sz w:val="24"/>
          <w:szCs w:val="24"/>
        </w:rPr>
      </w:pPr>
      <w:r w:rsidRPr="003F3C2F">
        <w:rPr>
          <w:sz w:val="24"/>
          <w:szCs w:val="24"/>
        </w:rPr>
        <w:t>However, the full realization of Liberia’s NDC 3.0 is highly dependent on external finance, capacity building, and technology transfer. The conditionality of most of its targets underscores the need for international cooperation to bridge the gap between ambition and implementation. In this context, Liberia’s NDC is both fair and ambitious, setting a strong example of leadership from the Global South despite structural limitations.</w:t>
      </w:r>
    </w:p>
    <w:p w14:paraId="4EB6E643" w14:textId="77777777" w:rsidR="00874B30" w:rsidRPr="003F3C2F" w:rsidRDefault="00874B30" w:rsidP="00E648F2">
      <w:pPr>
        <w:pStyle w:val="NoSpacing"/>
        <w:spacing w:line="276" w:lineRule="auto"/>
        <w:jc w:val="both"/>
        <w:rPr>
          <w:sz w:val="24"/>
          <w:szCs w:val="24"/>
        </w:rPr>
      </w:pPr>
    </w:p>
    <w:p w14:paraId="494BAD5F" w14:textId="7EACEC94" w:rsidR="00874B30" w:rsidRPr="003F3C2F" w:rsidRDefault="00874B30" w:rsidP="00E648F2">
      <w:pPr>
        <w:pStyle w:val="NoSpacing"/>
        <w:spacing w:line="276" w:lineRule="auto"/>
        <w:jc w:val="both"/>
        <w:rPr>
          <w:b/>
          <w:bCs/>
          <w:sz w:val="24"/>
          <w:szCs w:val="24"/>
        </w:rPr>
      </w:pPr>
      <w:r w:rsidRPr="003F3C2F">
        <w:rPr>
          <w:sz w:val="24"/>
          <w:szCs w:val="24"/>
        </w:rPr>
        <w:t xml:space="preserve"> </w:t>
      </w:r>
      <w:r w:rsidRPr="003F3C2F">
        <w:rPr>
          <w:b/>
          <w:bCs/>
          <w:sz w:val="24"/>
          <w:szCs w:val="24"/>
        </w:rPr>
        <w:t>Adaptation Ambition</w:t>
      </w:r>
    </w:p>
    <w:p w14:paraId="7746F6EA" w14:textId="7E5E9565" w:rsidR="00874B30" w:rsidRPr="003F3C2F" w:rsidRDefault="00874B30" w:rsidP="00781F44">
      <w:pPr>
        <w:pStyle w:val="NoSpacing"/>
        <w:numPr>
          <w:ilvl w:val="0"/>
          <w:numId w:val="15"/>
        </w:numPr>
        <w:overflowPunct/>
        <w:autoSpaceDE/>
        <w:autoSpaceDN/>
        <w:adjustRightInd/>
        <w:spacing w:line="276" w:lineRule="auto"/>
        <w:jc w:val="both"/>
        <w:textAlignment w:val="auto"/>
        <w:rPr>
          <w:sz w:val="24"/>
          <w:szCs w:val="24"/>
        </w:rPr>
      </w:pPr>
      <w:r w:rsidRPr="003F3C2F">
        <w:rPr>
          <w:sz w:val="24"/>
          <w:szCs w:val="24"/>
        </w:rPr>
        <w:t>Adaptation is mainstreamed across freshwater, agriculture, fisheries, health, energy, coastal protection, waste, and forestry</w:t>
      </w:r>
    </w:p>
    <w:p w14:paraId="787B744D" w14:textId="77777777" w:rsidR="00874B30" w:rsidRPr="003F3C2F" w:rsidRDefault="00874B30" w:rsidP="00781F44">
      <w:pPr>
        <w:pStyle w:val="NoSpacing"/>
        <w:numPr>
          <w:ilvl w:val="0"/>
          <w:numId w:val="15"/>
        </w:numPr>
        <w:overflowPunct/>
        <w:autoSpaceDE/>
        <w:autoSpaceDN/>
        <w:adjustRightInd/>
        <w:spacing w:line="276" w:lineRule="auto"/>
        <w:jc w:val="both"/>
        <w:textAlignment w:val="auto"/>
        <w:rPr>
          <w:sz w:val="24"/>
          <w:szCs w:val="24"/>
        </w:rPr>
      </w:pPr>
      <w:r w:rsidRPr="003F3C2F">
        <w:rPr>
          <w:sz w:val="24"/>
          <w:szCs w:val="24"/>
        </w:rPr>
        <w:t>Liberia aims to strengthen climate-resilient infrastructure, early warning systems, and local governance structures.</w:t>
      </w:r>
    </w:p>
    <w:p w14:paraId="3329B392" w14:textId="77777777" w:rsidR="00874B30" w:rsidRPr="003F3C2F" w:rsidRDefault="00874B30" w:rsidP="00781F44">
      <w:pPr>
        <w:pStyle w:val="NoSpacing"/>
        <w:numPr>
          <w:ilvl w:val="0"/>
          <w:numId w:val="15"/>
        </w:numPr>
        <w:overflowPunct/>
        <w:autoSpaceDE/>
        <w:autoSpaceDN/>
        <w:adjustRightInd/>
        <w:spacing w:line="276" w:lineRule="auto"/>
        <w:jc w:val="both"/>
        <w:textAlignment w:val="auto"/>
        <w:rPr>
          <w:sz w:val="24"/>
          <w:szCs w:val="24"/>
        </w:rPr>
      </w:pPr>
      <w:r w:rsidRPr="003F3C2F">
        <w:rPr>
          <w:sz w:val="24"/>
          <w:szCs w:val="24"/>
        </w:rPr>
        <w:t>The country is also improving its Monitoring, Reporting, and Verification (MRV) systems and tracking climate finance which are signs of institutional ambition.</w:t>
      </w:r>
    </w:p>
    <w:p w14:paraId="61DABCC8" w14:textId="77777777" w:rsidR="00874B30" w:rsidRPr="003F3C2F" w:rsidRDefault="00874B30" w:rsidP="00E648F2">
      <w:pPr>
        <w:pStyle w:val="NoSpacing"/>
        <w:spacing w:line="276" w:lineRule="auto"/>
        <w:jc w:val="both"/>
        <w:rPr>
          <w:sz w:val="24"/>
          <w:szCs w:val="24"/>
        </w:rPr>
      </w:pPr>
    </w:p>
    <w:p w14:paraId="1F892F35" w14:textId="77777777" w:rsidR="00874B30" w:rsidRPr="003F3C2F" w:rsidRDefault="00874B30" w:rsidP="00E648F2">
      <w:pPr>
        <w:pStyle w:val="NoSpacing"/>
        <w:spacing w:line="276" w:lineRule="auto"/>
        <w:jc w:val="both"/>
        <w:rPr>
          <w:b/>
          <w:bCs/>
          <w:sz w:val="24"/>
          <w:szCs w:val="24"/>
        </w:rPr>
      </w:pPr>
      <w:r w:rsidRPr="003F3C2F">
        <w:rPr>
          <w:b/>
          <w:bCs/>
          <w:sz w:val="24"/>
          <w:szCs w:val="24"/>
        </w:rPr>
        <w:t>Implementation Readiness</w:t>
      </w:r>
    </w:p>
    <w:p w14:paraId="6CE4C2F7" w14:textId="77777777" w:rsidR="00874B30" w:rsidRPr="003F3C2F" w:rsidRDefault="00874B30" w:rsidP="00E648F2">
      <w:pPr>
        <w:pStyle w:val="NoSpacing"/>
        <w:spacing w:line="276" w:lineRule="auto"/>
        <w:jc w:val="both"/>
        <w:rPr>
          <w:sz w:val="24"/>
          <w:szCs w:val="24"/>
        </w:rPr>
      </w:pPr>
    </w:p>
    <w:p w14:paraId="1F187F35" w14:textId="77777777" w:rsidR="00874B30" w:rsidRPr="003F3C2F" w:rsidRDefault="00874B30" w:rsidP="00781F44">
      <w:pPr>
        <w:pStyle w:val="NoSpacing"/>
        <w:numPr>
          <w:ilvl w:val="0"/>
          <w:numId w:val="16"/>
        </w:numPr>
        <w:overflowPunct/>
        <w:autoSpaceDE/>
        <w:autoSpaceDN/>
        <w:adjustRightInd/>
        <w:spacing w:line="276" w:lineRule="auto"/>
        <w:jc w:val="both"/>
        <w:textAlignment w:val="auto"/>
        <w:rPr>
          <w:sz w:val="24"/>
          <w:szCs w:val="24"/>
        </w:rPr>
      </w:pPr>
      <w:r w:rsidRPr="003F3C2F">
        <w:rPr>
          <w:sz w:val="24"/>
          <w:szCs w:val="24"/>
        </w:rPr>
        <w:lastRenderedPageBreak/>
        <w:t>The NDC 3.0 presents a costed implementation plan, though much of it is conditional upon receiving climate finance, technology transfer, and capacity building.</w:t>
      </w:r>
    </w:p>
    <w:p w14:paraId="09D4E94D" w14:textId="77777777" w:rsidR="00874B30" w:rsidRPr="003F3C2F" w:rsidRDefault="00874B30" w:rsidP="00781F44">
      <w:pPr>
        <w:pStyle w:val="NoSpacing"/>
        <w:numPr>
          <w:ilvl w:val="0"/>
          <w:numId w:val="16"/>
        </w:numPr>
        <w:overflowPunct/>
        <w:autoSpaceDE/>
        <w:autoSpaceDN/>
        <w:adjustRightInd/>
        <w:spacing w:line="276" w:lineRule="auto"/>
        <w:jc w:val="both"/>
        <w:textAlignment w:val="auto"/>
        <w:rPr>
          <w:sz w:val="24"/>
          <w:szCs w:val="24"/>
        </w:rPr>
      </w:pPr>
      <w:r w:rsidRPr="003F3C2F">
        <w:rPr>
          <w:sz w:val="24"/>
          <w:szCs w:val="24"/>
        </w:rPr>
        <w:t>Liberia also aligns its NDC with its National Adaptation Plan (NAP) and Long-Term Low Emissions Development Strategy (LT-LEDS).</w:t>
      </w:r>
    </w:p>
    <w:p w14:paraId="561F09BB" w14:textId="77777777" w:rsidR="00874B30" w:rsidRPr="003F3C2F" w:rsidRDefault="00874B30" w:rsidP="00E648F2">
      <w:pPr>
        <w:pStyle w:val="BodyText"/>
        <w:ind w:left="0"/>
        <w:rPr>
          <w:rFonts w:ascii="Times New Roman" w:hAnsi="Times New Roman"/>
        </w:rPr>
      </w:pPr>
    </w:p>
    <w:p w14:paraId="5D86A191" w14:textId="77777777" w:rsidR="009A6BAB" w:rsidRPr="003F3C2F" w:rsidRDefault="009A6BAB" w:rsidP="00E648F2">
      <w:pPr>
        <w:pStyle w:val="BodyText"/>
        <w:spacing w:before="240" w:after="240"/>
        <w:ind w:left="0"/>
        <w:rPr>
          <w:rFonts w:ascii="Times New Roman" w:hAnsi="Times New Roman"/>
        </w:rPr>
      </w:pPr>
    </w:p>
    <w:p w14:paraId="5C33D442" w14:textId="1C5C1E54" w:rsidR="00317B7D" w:rsidRPr="003F3C2F" w:rsidRDefault="00EF73D8" w:rsidP="00E648F2">
      <w:pPr>
        <w:pStyle w:val="Heading2"/>
        <w:numPr>
          <w:ilvl w:val="1"/>
          <w:numId w:val="12"/>
        </w:numPr>
        <w:spacing w:before="240" w:after="240" w:line="276" w:lineRule="auto"/>
      </w:pPr>
      <w:bookmarkStart w:id="56" w:name="_Toc205444895"/>
      <w:r w:rsidRPr="003F3C2F">
        <w:t>Alignment to international conventions</w:t>
      </w:r>
      <w:bookmarkEnd w:id="56"/>
    </w:p>
    <w:p w14:paraId="7D689035" w14:textId="78F660AD" w:rsidR="00874B30" w:rsidRPr="003F3C2F" w:rsidRDefault="00874B30" w:rsidP="00E648F2">
      <w:pPr>
        <w:pStyle w:val="NormalWeb"/>
        <w:spacing w:line="276" w:lineRule="auto"/>
        <w:jc w:val="both"/>
      </w:pPr>
      <w:r w:rsidRPr="003F3C2F">
        <w:t>Liberia’s NDC 3.0 demonstrates strong alignment with key international environmental frameworks, reflecting the country’s commitment to sustainable development and climate resilience. This alignment is evident across several major conventions, including the Rio Conventions, the Sendai Framework for Disaster Risk Reduction, the Montreal Protocol, and other multilateral environmental agreements (MEAs).</w:t>
      </w:r>
    </w:p>
    <w:p w14:paraId="2F7141D5" w14:textId="77777777" w:rsidR="00874B30" w:rsidRPr="003F3C2F" w:rsidRDefault="00874B30" w:rsidP="00E648F2">
      <w:pPr>
        <w:pStyle w:val="NormalWeb"/>
        <w:spacing w:line="276" w:lineRule="auto"/>
        <w:jc w:val="both"/>
      </w:pPr>
      <w:r w:rsidRPr="003F3C2F">
        <w:t xml:space="preserve">First, Liberia’s NDC 3.0 integrates the objectives of the </w:t>
      </w:r>
      <w:r w:rsidRPr="003F3C2F">
        <w:rPr>
          <w:rStyle w:val="Strong"/>
          <w:rFonts w:eastAsiaTheme="majorEastAsia"/>
        </w:rPr>
        <w:t>Rio Conventions</w:t>
      </w:r>
      <w:r w:rsidRPr="003F3C2F">
        <w:t xml:space="preserve"> which includes the UN Framework Convention on Climate Change (UNFCCC), the Convention on Biological Diversity (CBD), and the UN Convention to Combat Desertification (UNCCD). The NDC includes adaptation and mitigation measures such as forest conservation, sustainable agriculture, and ecosystem restoration, which directly support biodiversity preservation and combat land degradation (EPA Liberia, 2023). This cross-cutting approach reflects the principles of the Rio Conventions, particularly through Liberia’s commitment to reducing </w:t>
      </w:r>
      <w:r w:rsidRPr="00E4785A">
        <w:rPr>
          <w:highlight w:val="yellow"/>
        </w:rPr>
        <w:t>emissions by 64% by 2030</w:t>
      </w:r>
      <w:r w:rsidRPr="003F3C2F">
        <w:t>, partly through REDD+ initiatives and forest sector reforms (UNFCCC, 2023).</w:t>
      </w:r>
    </w:p>
    <w:p w14:paraId="26F75688" w14:textId="77777777" w:rsidR="00874B30" w:rsidRPr="003F3C2F" w:rsidRDefault="00874B30" w:rsidP="00E648F2">
      <w:pPr>
        <w:pStyle w:val="NormalWeb"/>
        <w:spacing w:line="276" w:lineRule="auto"/>
        <w:jc w:val="both"/>
      </w:pPr>
      <w:r w:rsidRPr="003F3C2F">
        <w:t xml:space="preserve">In line with the </w:t>
      </w:r>
      <w:r w:rsidRPr="003F3C2F">
        <w:rPr>
          <w:rStyle w:val="Strong"/>
          <w:rFonts w:eastAsiaTheme="majorEastAsia"/>
        </w:rPr>
        <w:t>Sendai Framework for Disaster Risk Reduction (2015–2030)</w:t>
      </w:r>
      <w:r w:rsidRPr="003F3C2F">
        <w:t>, Liberia’s NDC 3.0 emphasizes enhancing national resilience to climate-induced disasters such as floods, droughts, and coastal erosion. The NDC outlines strategic investments in early warning systems, climate-smart agriculture, and resilient infrastructure, aligning with Sendai’s priorities of understanding disaster risk, strengthening governance, and investing in risk reduction (UNDRR, 2015).</w:t>
      </w:r>
    </w:p>
    <w:p w14:paraId="79BF6430" w14:textId="77777777" w:rsidR="00874B30" w:rsidRPr="003F3C2F" w:rsidRDefault="00874B30" w:rsidP="00E648F2">
      <w:pPr>
        <w:pStyle w:val="NormalWeb"/>
        <w:spacing w:line="276" w:lineRule="auto"/>
        <w:jc w:val="both"/>
      </w:pPr>
      <w:r w:rsidRPr="003F3C2F">
        <w:t xml:space="preserve">Regarding the </w:t>
      </w:r>
      <w:r w:rsidRPr="003F3C2F">
        <w:rPr>
          <w:rStyle w:val="Strong"/>
          <w:rFonts w:eastAsiaTheme="majorEastAsia"/>
        </w:rPr>
        <w:t>Montreal Protocol</w:t>
      </w:r>
      <w:r w:rsidRPr="003F3C2F">
        <w:t>, Liberia’s NDC acknowledges the importance of phasing out ozone-depleting substances and transitioning to low-global warming potential (GWP) alternatives. The integration of hydrofluorocarbon (HFC) management strategies and energy-efficient cooling technologies within its mitigation plans aligns with the Kigali Amendment’s objectives, supporting both climate and ozone layer protection (UNEP, 2022).</w:t>
      </w:r>
    </w:p>
    <w:p w14:paraId="3E737BE6" w14:textId="77777777" w:rsidR="00874B30" w:rsidRPr="003F3C2F" w:rsidRDefault="00874B30" w:rsidP="00E648F2">
      <w:pPr>
        <w:pStyle w:val="NormalWeb"/>
        <w:spacing w:line="276" w:lineRule="auto"/>
        <w:jc w:val="both"/>
      </w:pPr>
      <w:r w:rsidRPr="003F3C2F">
        <w:t xml:space="preserve">Liberia’s NDC 3.0 is consistent with broader </w:t>
      </w:r>
      <w:r w:rsidRPr="003F3C2F">
        <w:rPr>
          <w:rStyle w:val="Strong"/>
          <w:rFonts w:eastAsiaTheme="majorEastAsia"/>
        </w:rPr>
        <w:t>Multilateral Environmental Agreements (MEAs)</w:t>
      </w:r>
      <w:r w:rsidRPr="003F3C2F">
        <w:t xml:space="preserve"> such as the Paris Agreement and the Sustainable Development Goals (SDGs). Its emphasis on gender equity, indigenous participation, and green jobs contributes to SDG targets </w:t>
      </w:r>
      <w:r w:rsidRPr="003F3C2F">
        <w:lastRenderedPageBreak/>
        <w:t>while ensuring that climate action is inclusive and just. The NDC also references commitments under the Minamata Convention on Mercury and the Basel Convention on hazardous waste, indicating efforts to minimize environmental health risks (EPA Liberia, 2023).</w:t>
      </w:r>
    </w:p>
    <w:p w14:paraId="60426F4F" w14:textId="2FBA8B12" w:rsidR="007C7CDD" w:rsidRDefault="00874B30" w:rsidP="00012871">
      <w:pPr>
        <w:pStyle w:val="NormalWeb"/>
        <w:spacing w:line="276" w:lineRule="auto"/>
        <w:jc w:val="both"/>
      </w:pPr>
      <w:r w:rsidRPr="003F3C2F">
        <w:t>In summary, Liberia’s NDC 3.0 is a holistic and integrated framework that advances national priorities while honoring its obligations under major international environmental agreements, underscoring the country’s role as a proactive partner in global climate governance.</w:t>
      </w:r>
    </w:p>
    <w:p w14:paraId="26903521" w14:textId="77777777" w:rsidR="00E02D2F" w:rsidRDefault="00E02D2F" w:rsidP="00012871">
      <w:pPr>
        <w:pStyle w:val="NormalWeb"/>
        <w:spacing w:line="276" w:lineRule="auto"/>
        <w:jc w:val="both"/>
      </w:pPr>
    </w:p>
    <w:p w14:paraId="5C9BE425" w14:textId="77777777" w:rsidR="00E02D2F" w:rsidRPr="003F3C2F" w:rsidRDefault="00E02D2F" w:rsidP="00012871">
      <w:pPr>
        <w:pStyle w:val="NormalWeb"/>
        <w:spacing w:line="276" w:lineRule="auto"/>
        <w:jc w:val="both"/>
      </w:pPr>
    </w:p>
    <w:p w14:paraId="39373745" w14:textId="40F007C8" w:rsidR="009A6BAB" w:rsidRPr="003F3C2F" w:rsidRDefault="00022463" w:rsidP="00F51FAF">
      <w:pPr>
        <w:pStyle w:val="Heading1"/>
        <w:numPr>
          <w:ilvl w:val="0"/>
          <w:numId w:val="12"/>
        </w:numPr>
        <w:spacing w:before="240" w:after="240" w:line="276" w:lineRule="auto"/>
        <w:ind w:left="360"/>
        <w:rPr>
          <w:bCs/>
        </w:rPr>
      </w:pPr>
      <w:r w:rsidRPr="003F3C2F">
        <w:rPr>
          <w:bCs/>
        </w:rPr>
        <w:t xml:space="preserve"> </w:t>
      </w:r>
      <w:bookmarkStart w:id="57" w:name="_Toc205444896"/>
      <w:r w:rsidR="00967875" w:rsidRPr="003F3C2F">
        <w:rPr>
          <w:bCs/>
        </w:rPr>
        <w:t>MEANS OF</w:t>
      </w:r>
      <w:r w:rsidR="00B82D81" w:rsidRPr="003F3C2F">
        <w:rPr>
          <w:bCs/>
        </w:rPr>
        <w:t xml:space="preserve"> IMPLEMENTATION</w:t>
      </w:r>
      <w:bookmarkEnd w:id="57"/>
    </w:p>
    <w:p w14:paraId="0F429B5A" w14:textId="01C3F159" w:rsidR="00CE4158" w:rsidRPr="00CE4158" w:rsidRDefault="00CE4158" w:rsidP="00CE4158">
      <w:pPr>
        <w:pStyle w:val="NormalWeb"/>
        <w:spacing w:line="276" w:lineRule="auto"/>
        <w:jc w:val="both"/>
      </w:pPr>
      <w:r w:rsidRPr="00CE4158">
        <w:t>To fully implement Liberia’s mitigation and adaptation actions under its NDC</w:t>
      </w:r>
      <w:r>
        <w:t xml:space="preserve"> 3.0</w:t>
      </w:r>
      <w:r w:rsidRPr="00CE4158">
        <w:t>, r</w:t>
      </w:r>
      <w:r>
        <w:t xml:space="preserve"> </w:t>
      </w:r>
      <w:r w:rsidRPr="00CE4158">
        <w:t>adequate, predictable, and sustainable financial</w:t>
      </w:r>
      <w:r>
        <w:t xml:space="preserve"> </w:t>
      </w:r>
      <w:r w:rsidRPr="00CE4158">
        <w:t>support and mechanisms</w:t>
      </w:r>
      <w:r>
        <w:t xml:space="preserve"> is needed. </w:t>
      </w:r>
      <w:r w:rsidRPr="00CE4158">
        <w:t>The NDC Costing and Cost-Benefit analysis estimated that a total investment</w:t>
      </w:r>
      <w:r>
        <w:t xml:space="preserve"> </w:t>
      </w:r>
      <w:r w:rsidRPr="00CE4158">
        <w:t xml:space="preserve">of </w:t>
      </w:r>
      <w:r w:rsidRPr="00CE4158">
        <w:rPr>
          <w:highlight w:val="yellow"/>
        </w:rPr>
        <w:t>US$xxx</w:t>
      </w:r>
      <w:r w:rsidRPr="00CE4158">
        <w:t xml:space="preserve"> dollars through 20</w:t>
      </w:r>
      <w:r>
        <w:t>30</w:t>
      </w:r>
      <w:r w:rsidRPr="00CE4158">
        <w:t xml:space="preserve"> will be needed to achieve Liberia’s NDC</w:t>
      </w:r>
      <w:r>
        <w:t xml:space="preserve"> 3.0</w:t>
      </w:r>
      <w:r w:rsidRPr="00CE4158">
        <w:t xml:space="preserve"> mitigation and</w:t>
      </w:r>
      <w:r>
        <w:t xml:space="preserve"> </w:t>
      </w:r>
      <w:r w:rsidRPr="00CE4158">
        <w:t>adaptation targets. Of this amount, US$</w:t>
      </w:r>
      <w:r>
        <w:t>xxx</w:t>
      </w:r>
      <w:r w:rsidRPr="00CE4158">
        <w:t xml:space="preserve"> dollars will be required to achieve Liberia’s mitigation</w:t>
      </w:r>
      <w:r>
        <w:t xml:space="preserve"> </w:t>
      </w:r>
      <w:r w:rsidRPr="00CE4158">
        <w:t xml:space="preserve">targets, whilst </w:t>
      </w:r>
      <w:r w:rsidRPr="00CE4158">
        <w:rPr>
          <w:highlight w:val="yellow"/>
        </w:rPr>
        <w:t>US$xxx dollars</w:t>
      </w:r>
      <w:r w:rsidRPr="00CE4158">
        <w:t xml:space="preserve"> will be required to achieve its adaptation targets. To achieve the</w:t>
      </w:r>
      <w:r>
        <w:t xml:space="preserve"> </w:t>
      </w:r>
      <w:r w:rsidRPr="00CE4158">
        <w:t>conditional portion of its NDC</w:t>
      </w:r>
      <w:r>
        <w:t xml:space="preserve"> 3.0</w:t>
      </w:r>
      <w:r w:rsidRPr="00CE4158">
        <w:t xml:space="preserve"> target, Liberia intends to mobilize approximately </w:t>
      </w:r>
      <w:r w:rsidRPr="00CE4158">
        <w:rPr>
          <w:highlight w:val="yellow"/>
        </w:rPr>
        <w:t>US$xxxx</w:t>
      </w:r>
      <w:r w:rsidRPr="00CE4158">
        <w:t xml:space="preserve"> dollars</w:t>
      </w:r>
      <w:r>
        <w:t xml:space="preserve"> </w:t>
      </w:r>
      <w:r w:rsidRPr="00CE4158">
        <w:t>from the private sector, bilateral and multilateral sources and all other sources, mechanisms, and</w:t>
      </w:r>
      <w:r>
        <w:t xml:space="preserve"> </w:t>
      </w:r>
      <w:r w:rsidRPr="00CE4158">
        <w:t>instruments. The investment in achieving Liberia’s NDC</w:t>
      </w:r>
      <w:r>
        <w:t xml:space="preserve"> 3.0</w:t>
      </w:r>
      <w:r w:rsidRPr="00CE4158">
        <w:t xml:space="preserve"> will yield direct and indirect economic benefits of</w:t>
      </w:r>
      <w:r>
        <w:t xml:space="preserve"> </w:t>
      </w:r>
      <w:r w:rsidRPr="00CE4158">
        <w:t xml:space="preserve">approximately </w:t>
      </w:r>
      <w:r w:rsidRPr="00CE4158">
        <w:rPr>
          <w:highlight w:val="yellow"/>
        </w:rPr>
        <w:t>US$xxxxx,</w:t>
      </w:r>
      <w:r w:rsidRPr="00CE4158">
        <w:t xml:space="preserve"> thus, generating significant returns for the global climate, Liberia’s</w:t>
      </w:r>
      <w:r>
        <w:t xml:space="preserve"> </w:t>
      </w:r>
      <w:r w:rsidRPr="00CE4158">
        <w:t>economy, and the well-being of its citizens.</w:t>
      </w:r>
    </w:p>
    <w:p w14:paraId="4CDB96FB" w14:textId="43117194" w:rsidR="00CE4158" w:rsidRDefault="00CE4158" w:rsidP="00CE4158">
      <w:pPr>
        <w:pStyle w:val="NormalWeb"/>
        <w:spacing w:line="276" w:lineRule="auto"/>
        <w:jc w:val="both"/>
      </w:pPr>
      <w:r w:rsidRPr="00CE4158">
        <w:t>Liberia also plans to develop a tracking system to analyze the support (finance, technology transfer and</w:t>
      </w:r>
      <w:r>
        <w:t xml:space="preserve"> </w:t>
      </w:r>
      <w:r w:rsidRPr="00CE4158">
        <w:t>capacity building) for implementation. The country will consider inclusion of international carbon market</w:t>
      </w:r>
      <w:r>
        <w:t xml:space="preserve"> </w:t>
      </w:r>
      <w:r w:rsidRPr="00CE4158">
        <w:t>mechanisms,</w:t>
      </w:r>
      <w:r>
        <w:t xml:space="preserve"> based on the National Carbon Development Policy (as and when endorsed),</w:t>
      </w:r>
      <w:r w:rsidRPr="00CE4158">
        <w:t xml:space="preserve"> </w:t>
      </w:r>
      <w:r>
        <w:t xml:space="preserve">and </w:t>
      </w:r>
      <w:r w:rsidRPr="00CE4158">
        <w:t>cooperative approaches under Article 6 of the Paris Agreement</w:t>
      </w:r>
      <w:r>
        <w:t xml:space="preserve">, </w:t>
      </w:r>
      <w:r w:rsidRPr="00CE4158">
        <w:t>as these economic</w:t>
      </w:r>
      <w:r>
        <w:t xml:space="preserve"> </w:t>
      </w:r>
      <w:r w:rsidRPr="00CE4158">
        <w:t>instruments, supported by appropriate accounting systems (i.e., MRV systems), can be used to help</w:t>
      </w:r>
      <w:r>
        <w:t xml:space="preserve"> </w:t>
      </w:r>
      <w:r w:rsidRPr="00CE4158">
        <w:t>finance low-carbon and climate-resilient infrastructure investments. Liberia considers that some low</w:t>
      </w:r>
      <w:r>
        <w:t>-</w:t>
      </w:r>
      <w:r w:rsidRPr="00CE4158">
        <w:t>carbon development options in the NDC, or additional actions, could be financed in full or in part, through</w:t>
      </w:r>
      <w:r>
        <w:t xml:space="preserve"> </w:t>
      </w:r>
      <w:r w:rsidRPr="00CE4158">
        <w:t>the transfer of international carbon credits/assets or results-based financing, in line with the guidance</w:t>
      </w:r>
      <w:r>
        <w:t xml:space="preserve"> and requirements</w:t>
      </w:r>
      <w:r w:rsidRPr="00CE4158">
        <w:t xml:space="preserve"> to</w:t>
      </w:r>
      <w:r>
        <w:t xml:space="preserve"> </w:t>
      </w:r>
      <w:r w:rsidRPr="00CE4158">
        <w:t xml:space="preserve">be agreed </w:t>
      </w:r>
      <w:r>
        <w:t xml:space="preserve">in the carbon policy and </w:t>
      </w:r>
      <w:r w:rsidRPr="00CE4158">
        <w:t>Article 6, taking into account environmental integrity and transparency.</w:t>
      </w:r>
    </w:p>
    <w:p w14:paraId="0464D4B2" w14:textId="77777777" w:rsidR="00CE4158" w:rsidRDefault="00CE4158" w:rsidP="00CE4158">
      <w:pPr>
        <w:pStyle w:val="NormalWeb"/>
        <w:spacing w:line="276" w:lineRule="auto"/>
        <w:jc w:val="both"/>
      </w:pPr>
    </w:p>
    <w:p w14:paraId="6272BB8E" w14:textId="565725B8" w:rsidR="00E16307" w:rsidRDefault="00CE4158" w:rsidP="00CE4158">
      <w:pPr>
        <w:pStyle w:val="NormalWeb"/>
        <w:spacing w:line="276" w:lineRule="auto"/>
        <w:jc w:val="both"/>
      </w:pPr>
      <w:r w:rsidRPr="00CE4158">
        <w:lastRenderedPageBreak/>
        <w:t>Liberia recognizes that its system of Monitoring, Reporting</w:t>
      </w:r>
      <w:r w:rsidR="00E16307">
        <w:t>,</w:t>
      </w:r>
      <w:r w:rsidRPr="00CE4158">
        <w:t xml:space="preserve"> and Verification (MRV) is a fundamental pillar</w:t>
      </w:r>
      <w:r>
        <w:t xml:space="preserve"> </w:t>
      </w:r>
      <w:r w:rsidRPr="00CE4158">
        <w:t>of its NDC</w:t>
      </w:r>
      <w:r w:rsidR="00E16307">
        <w:t xml:space="preserve"> 3.0</w:t>
      </w:r>
      <w:r w:rsidRPr="00CE4158">
        <w:t xml:space="preserve"> for the purpose of transparency and accountability. The MRV system for the NDC </w:t>
      </w:r>
      <w:r w:rsidR="00E16307">
        <w:t xml:space="preserve">3.0 </w:t>
      </w:r>
      <w:r w:rsidRPr="00CE4158">
        <w:t>will build</w:t>
      </w:r>
      <w:r>
        <w:t xml:space="preserve"> </w:t>
      </w:r>
      <w:r w:rsidRPr="00CE4158">
        <w:t>upon existing structures for monitoring and evaluation (M&amp;E) and inter-sectoral coordination. In this</w:t>
      </w:r>
      <w:r>
        <w:t xml:space="preserve"> </w:t>
      </w:r>
      <w:r w:rsidRPr="00CE4158">
        <w:t>regard, the country will require further support to ensure that its MRV system is strengthened</w:t>
      </w:r>
      <w:r>
        <w:t xml:space="preserve"> </w:t>
      </w:r>
      <w:r w:rsidRPr="00CE4158">
        <w:t>(institutional arrangement and responsibilities, indicators, methodologies) in order to track progress</w:t>
      </w:r>
      <w:r>
        <w:t xml:space="preserve"> </w:t>
      </w:r>
      <w:r w:rsidRPr="00CE4158">
        <w:t xml:space="preserve">toward the implementation of </w:t>
      </w:r>
      <w:r w:rsidR="00E16307">
        <w:t xml:space="preserve">the </w:t>
      </w:r>
      <w:r w:rsidRPr="00CE4158">
        <w:t>NDC</w:t>
      </w:r>
      <w:r w:rsidR="00E16307">
        <w:t xml:space="preserve"> 3.0,</w:t>
      </w:r>
      <w:r w:rsidRPr="00CE4158">
        <w:t xml:space="preserve"> including non-GHG co-benefits.</w:t>
      </w:r>
      <w:r>
        <w:t xml:space="preserve"> </w:t>
      </w:r>
    </w:p>
    <w:p w14:paraId="1AD2618B" w14:textId="37017850" w:rsidR="00E16307" w:rsidRDefault="00CE4158" w:rsidP="00CE4158">
      <w:pPr>
        <w:pStyle w:val="NormalWeb"/>
        <w:spacing w:line="276" w:lineRule="auto"/>
        <w:jc w:val="both"/>
      </w:pPr>
      <w:r w:rsidRPr="00CE4158">
        <w:t xml:space="preserve">Liberia </w:t>
      </w:r>
      <w:r w:rsidR="00E16307">
        <w:t>will update the</w:t>
      </w:r>
      <w:r w:rsidRPr="00CE4158">
        <w:t xml:space="preserve"> Implementation</w:t>
      </w:r>
      <w:r>
        <w:t xml:space="preserve"> </w:t>
      </w:r>
      <w:r w:rsidRPr="00CE4158">
        <w:t>Plan</w:t>
      </w:r>
      <w:r w:rsidR="00E16307">
        <w:t xml:space="preserve"> for NDC 2.0 injecting new interventions that support the attainment of the emissions objectives under this NDC 3.0. Funding will be required from external partners and the national government to achieve this objective as soon as possible. The NDC 3.0 Implementation Plan</w:t>
      </w:r>
      <w:r w:rsidRPr="00CE4158">
        <w:t xml:space="preserve"> will provide the timeframe for implementation and detail the short</w:t>
      </w:r>
      <w:r w:rsidR="00E16307">
        <w:t xml:space="preserve"> </w:t>
      </w:r>
      <w:r w:rsidRPr="00CE4158">
        <w:t>and long-term actions</w:t>
      </w:r>
      <w:r>
        <w:t xml:space="preserve"> </w:t>
      </w:r>
      <w:r w:rsidRPr="00CE4158">
        <w:t>required to reach the climate mitigation and adaptation goals as outlined in the revised NDC</w:t>
      </w:r>
      <w:r w:rsidR="00E16307">
        <w:t xml:space="preserve"> 3.0</w:t>
      </w:r>
      <w:r w:rsidRPr="00CE4158">
        <w:t>. The Plan will</w:t>
      </w:r>
      <w:r>
        <w:t xml:space="preserve"> </w:t>
      </w:r>
      <w:r w:rsidRPr="00CE4158">
        <w:t>integrate all relevant elements required for Liberia to achieve its NDC</w:t>
      </w:r>
      <w:r w:rsidR="00E16307">
        <w:t xml:space="preserve"> 3.0</w:t>
      </w:r>
      <w:r w:rsidRPr="00CE4158">
        <w:t>, including the enabling conditions,</w:t>
      </w:r>
      <w:r>
        <w:t xml:space="preserve"> </w:t>
      </w:r>
      <w:r w:rsidRPr="00CE4158">
        <w:t>policy frameworks, institutional arrangements, climate</w:t>
      </w:r>
      <w:r w:rsidR="00E16307">
        <w:t>-</w:t>
      </w:r>
      <w:r w:rsidRPr="00CE4158">
        <w:t>related MRV systems, gender equality and social</w:t>
      </w:r>
      <w:r>
        <w:t xml:space="preserve"> </w:t>
      </w:r>
      <w:r w:rsidRPr="00CE4158">
        <w:t>inclusion, and financing strategies. The plan will further establish a clear logical framework that defines</w:t>
      </w:r>
      <w:r w:rsidR="00E16307">
        <w:t xml:space="preserve"> </w:t>
      </w:r>
      <w:r w:rsidR="00E16307" w:rsidRPr="00E16307">
        <w:t>outcomes, outputs, and activities, including within sectoral plans, leading to the achievement of stated</w:t>
      </w:r>
      <w:r w:rsidR="00E16307">
        <w:t xml:space="preserve"> </w:t>
      </w:r>
      <w:r w:rsidR="00E16307" w:rsidRPr="00E16307">
        <w:t>targets, describes vital enabling conditions for the NDC implementation based on an analysis of key</w:t>
      </w:r>
      <w:r w:rsidR="00E16307">
        <w:t xml:space="preserve"> </w:t>
      </w:r>
      <w:r w:rsidR="00E16307" w:rsidRPr="00E16307">
        <w:t>barriers and gaps, such as new or improved policies and regulations, capacity-building, technical</w:t>
      </w:r>
      <w:r w:rsidR="00E16307">
        <w:t xml:space="preserve"> </w:t>
      </w:r>
      <w:r w:rsidR="00E16307" w:rsidRPr="00E16307">
        <w:t>assistance, awareness raising, etc. Liberia’s NDC Implementation Plan will describe the roles and</w:t>
      </w:r>
      <w:r w:rsidR="00E16307">
        <w:t xml:space="preserve"> </w:t>
      </w:r>
      <w:r w:rsidR="00E16307" w:rsidRPr="00E16307">
        <w:t>responsibilities of relevant institutions and institutional frameworks in NDC implementation, reporting,</w:t>
      </w:r>
      <w:r w:rsidR="00E16307">
        <w:t xml:space="preserve"> </w:t>
      </w:r>
      <w:r w:rsidR="00E16307" w:rsidRPr="00E16307">
        <w:t>coordination, support, and finance, as well as a description of the MRV systems that will track progress</w:t>
      </w:r>
      <w:r w:rsidR="00E16307">
        <w:t xml:space="preserve"> </w:t>
      </w:r>
      <w:r w:rsidR="00E16307" w:rsidRPr="00E16307">
        <w:t>toward achievement of the NDC targets, among others.</w:t>
      </w:r>
    </w:p>
    <w:p w14:paraId="6D5CEC41" w14:textId="77777777" w:rsidR="00E16307" w:rsidRPr="00CE4158" w:rsidRDefault="00E16307" w:rsidP="00CE4158">
      <w:pPr>
        <w:pStyle w:val="NormalWeb"/>
        <w:spacing w:line="276" w:lineRule="auto"/>
        <w:jc w:val="both"/>
      </w:pPr>
    </w:p>
    <w:p w14:paraId="6228D569" w14:textId="77777777" w:rsidR="00CE4158" w:rsidRDefault="00CE4158" w:rsidP="00CE4158">
      <w:pPr>
        <w:pStyle w:val="NormalWeb"/>
        <w:spacing w:line="276" w:lineRule="auto"/>
        <w:jc w:val="both"/>
      </w:pPr>
    </w:p>
    <w:p w14:paraId="56915998" w14:textId="26D53CE7" w:rsidR="009A6BAB" w:rsidRPr="003F3C2F" w:rsidRDefault="00FE4745" w:rsidP="00B31589">
      <w:pPr>
        <w:pStyle w:val="Heading1"/>
        <w:numPr>
          <w:ilvl w:val="0"/>
          <w:numId w:val="12"/>
        </w:numPr>
        <w:spacing w:before="240" w:after="240" w:line="276" w:lineRule="auto"/>
        <w:ind w:left="360"/>
        <w:rPr>
          <w:bCs/>
        </w:rPr>
      </w:pPr>
      <w:bookmarkStart w:id="58" w:name="_Toc205444900"/>
      <w:r w:rsidRPr="003F3C2F">
        <w:rPr>
          <w:bCs/>
        </w:rPr>
        <w:t>MONITORING, REPORTING AND VERIFICATION (MRV)</w:t>
      </w:r>
      <w:bookmarkEnd w:id="58"/>
      <w:r w:rsidR="00E02D2F">
        <w:rPr>
          <w:bCs/>
        </w:rPr>
        <w:t>.</w:t>
      </w:r>
    </w:p>
    <w:p w14:paraId="6AC1286F" w14:textId="7974F0D2" w:rsidR="00E02D2F" w:rsidRDefault="00B31589" w:rsidP="00B31589">
      <w:pPr>
        <w:spacing w:line="276" w:lineRule="auto"/>
        <w:jc w:val="both"/>
        <w:rPr>
          <w:sz w:val="24"/>
          <w:szCs w:val="24"/>
        </w:rPr>
      </w:pPr>
      <w:r w:rsidRPr="003F3C2F">
        <w:rPr>
          <w:sz w:val="24"/>
          <w:szCs w:val="24"/>
        </w:rPr>
        <w:t xml:space="preserve">When the Government of Liberia submitted the updated NDC 2.0 on August 4, 2021, it established the NDC coordination structure for the implementation of NDC, tracking, and reporting of progress. The </w:t>
      </w:r>
      <w:r w:rsidR="00E02D2F">
        <w:rPr>
          <w:sz w:val="24"/>
          <w:szCs w:val="24"/>
        </w:rPr>
        <w:t>EPA and the Ministry of Finance have dedicated</w:t>
      </w:r>
      <w:r w:rsidRPr="003F3C2F">
        <w:rPr>
          <w:sz w:val="24"/>
          <w:szCs w:val="24"/>
        </w:rPr>
        <w:t xml:space="preserve"> NDC Focal Points. The two Focal Points work along</w:t>
      </w:r>
      <w:r w:rsidR="00E02D2F">
        <w:rPr>
          <w:sz w:val="24"/>
          <w:szCs w:val="24"/>
        </w:rPr>
        <w:t>side</w:t>
      </w:r>
      <w:r w:rsidRPr="003F3C2F">
        <w:rPr>
          <w:sz w:val="24"/>
          <w:szCs w:val="24"/>
        </w:rPr>
        <w:t xml:space="preserve"> the NDC Coordinator </w:t>
      </w:r>
      <w:r w:rsidR="00E02D2F">
        <w:rPr>
          <w:sz w:val="24"/>
          <w:szCs w:val="24"/>
        </w:rPr>
        <w:t xml:space="preserve">to </w:t>
      </w:r>
      <w:r w:rsidRPr="003F3C2F">
        <w:rPr>
          <w:sz w:val="24"/>
          <w:szCs w:val="24"/>
        </w:rPr>
        <w:t xml:space="preserve">directly </w:t>
      </w:r>
      <w:r w:rsidR="00E02D2F">
        <w:rPr>
          <w:sz w:val="24"/>
          <w:szCs w:val="24"/>
        </w:rPr>
        <w:t>coordinate all activities, including reporting, verification, and monitoring for each NDC sector. Monthly and quarterly reporting is required of these NDC Focal Points</w:t>
      </w:r>
      <w:r w:rsidRPr="003F3C2F">
        <w:rPr>
          <w:sz w:val="24"/>
          <w:szCs w:val="24"/>
        </w:rPr>
        <w:t xml:space="preserve">. </w:t>
      </w:r>
      <w:r w:rsidR="00E02D2F">
        <w:rPr>
          <w:sz w:val="24"/>
          <w:szCs w:val="24"/>
        </w:rPr>
        <w:t xml:space="preserve">Reports received on the implementation of emission and adaptation targets are analysed, reviewed, and assessed. Thereafter, once </w:t>
      </w:r>
      <w:r w:rsidR="00E02D2F">
        <w:rPr>
          <w:sz w:val="24"/>
          <w:szCs w:val="24"/>
        </w:rPr>
        <w:lastRenderedPageBreak/>
        <w:t xml:space="preserve">confirmed and certified, the data is imported into the national system, constituting official reporting of achievement. </w:t>
      </w:r>
    </w:p>
    <w:p w14:paraId="1F12EF5D" w14:textId="77777777" w:rsidR="00E02D2F" w:rsidRDefault="00E02D2F" w:rsidP="00B31589">
      <w:pPr>
        <w:spacing w:line="276" w:lineRule="auto"/>
        <w:jc w:val="both"/>
        <w:rPr>
          <w:sz w:val="24"/>
          <w:szCs w:val="24"/>
        </w:rPr>
      </w:pPr>
    </w:p>
    <w:p w14:paraId="287D259B" w14:textId="0F392A28" w:rsidR="00B31589" w:rsidRPr="003F3C2F" w:rsidRDefault="00B31589" w:rsidP="00B31589">
      <w:pPr>
        <w:spacing w:line="276" w:lineRule="auto"/>
        <w:jc w:val="both"/>
        <w:rPr>
          <w:sz w:val="24"/>
          <w:szCs w:val="24"/>
        </w:rPr>
      </w:pPr>
      <w:r w:rsidRPr="003F3C2F">
        <w:rPr>
          <w:sz w:val="24"/>
          <w:szCs w:val="24"/>
        </w:rPr>
        <w:t xml:space="preserve">The NDC secretariat has undergone strategic changes improving efficiency, accountability, operationalization, and effectiveness. Additionally, the secretariat has designated, trained, and equipped focal persons from NDC sector ministries/agencies to collect, verify, and report data on the implementation of the NDC targets. Supported by a small team, the coordinator and the secretariat have put in place a system for evaluating the data to ensure integrity and prepare regular updates of NDC implementation to the government and its partners. The currently tool available for producing monthly and quarterly reports is the NDC Partnership Online Tool. </w:t>
      </w:r>
    </w:p>
    <w:p w14:paraId="64186CB8" w14:textId="77777777" w:rsidR="00B31589" w:rsidRPr="003F3C2F" w:rsidRDefault="00B31589" w:rsidP="00B31589">
      <w:pPr>
        <w:spacing w:line="276" w:lineRule="auto"/>
        <w:jc w:val="both"/>
        <w:rPr>
          <w:sz w:val="24"/>
          <w:szCs w:val="24"/>
        </w:rPr>
      </w:pPr>
    </w:p>
    <w:p w14:paraId="180FBEA4" w14:textId="77777777" w:rsidR="00B31589" w:rsidRPr="003F3C2F" w:rsidRDefault="00B31589" w:rsidP="00B31589">
      <w:pPr>
        <w:spacing w:line="276" w:lineRule="auto"/>
        <w:jc w:val="both"/>
        <w:rPr>
          <w:sz w:val="24"/>
          <w:szCs w:val="24"/>
        </w:rPr>
      </w:pPr>
      <w:r w:rsidRPr="003F3C2F">
        <w:rPr>
          <w:sz w:val="24"/>
          <w:szCs w:val="24"/>
        </w:rPr>
        <w:t xml:space="preserve">However, the Government of Liberia in collaboration with CI-GEF, has developed a GEF project proposal that will help further equip the NDC secretariat to effectively collect, verify, and report on Liberia’s NDC 3.0. The project seeks to Strengthen National Greenhouse Gas Inventory (GHGI) system to consistently feed the national Measuring, Reporting, and Verification (MRV) system to meet ETF reporting, as well as establish a functional data-sharing cooperation frameworks effectively coordinated among the GHG and NDC sector institutions; and strengthen the technical capacities of NDC sectoral Focal Points for implementing NDC measures, monitoring and reporting NDC mitigation actions. </w:t>
      </w:r>
    </w:p>
    <w:p w14:paraId="392437B8" w14:textId="77777777" w:rsidR="00B31589" w:rsidRPr="003F3C2F" w:rsidRDefault="00B31589" w:rsidP="00B31589">
      <w:pPr>
        <w:pStyle w:val="BodyText"/>
        <w:ind w:left="0"/>
        <w:rPr>
          <w:rFonts w:ascii="Times New Roman" w:hAnsi="Times New Roman"/>
        </w:rPr>
      </w:pPr>
    </w:p>
    <w:p w14:paraId="1D24BF07" w14:textId="77777777" w:rsidR="00B31589" w:rsidRPr="003F3C2F" w:rsidRDefault="00B31589" w:rsidP="00B31589">
      <w:pPr>
        <w:pStyle w:val="BodyText"/>
        <w:ind w:left="0"/>
        <w:rPr>
          <w:rFonts w:ascii="Times New Roman" w:hAnsi="Times New Roman"/>
        </w:rPr>
      </w:pPr>
    </w:p>
    <w:p w14:paraId="7D0A6CC1" w14:textId="77777777" w:rsidR="00B31589" w:rsidRPr="003F3C2F" w:rsidRDefault="00B31589" w:rsidP="00B31589">
      <w:pPr>
        <w:pStyle w:val="BodyText"/>
        <w:ind w:left="0"/>
        <w:rPr>
          <w:rFonts w:ascii="Times New Roman" w:hAnsi="Times New Roman"/>
        </w:rPr>
      </w:pPr>
    </w:p>
    <w:p w14:paraId="22977C02" w14:textId="77777777" w:rsidR="00B31589" w:rsidRPr="003F3C2F" w:rsidRDefault="00B31589" w:rsidP="00B31589">
      <w:pPr>
        <w:pStyle w:val="BodyText"/>
        <w:ind w:left="0"/>
        <w:rPr>
          <w:rFonts w:ascii="Times New Roman" w:hAnsi="Times New Roman"/>
        </w:rPr>
      </w:pPr>
    </w:p>
    <w:p w14:paraId="16241164" w14:textId="5A37B785" w:rsidR="007C7CDD" w:rsidRPr="003F3C2F" w:rsidRDefault="007C7CDD">
      <w:pPr>
        <w:overflowPunct/>
        <w:autoSpaceDE/>
        <w:autoSpaceDN/>
        <w:adjustRightInd/>
        <w:spacing w:line="240" w:lineRule="auto"/>
        <w:textAlignment w:val="auto"/>
        <w:rPr>
          <w:sz w:val="18"/>
          <w:szCs w:val="18"/>
        </w:rPr>
      </w:pPr>
      <w:r w:rsidRPr="003F3C2F">
        <w:br w:type="page"/>
      </w:r>
    </w:p>
    <w:p w14:paraId="4F11293A" w14:textId="4156D850" w:rsidR="009A6BAB" w:rsidRPr="003F3C2F" w:rsidRDefault="009A6BAB" w:rsidP="009A6BAB">
      <w:pPr>
        <w:pStyle w:val="Heading1"/>
        <w:numPr>
          <w:ilvl w:val="0"/>
          <w:numId w:val="12"/>
        </w:numPr>
        <w:spacing w:before="240" w:after="240" w:line="276" w:lineRule="auto"/>
        <w:rPr>
          <w:bCs/>
        </w:rPr>
      </w:pPr>
      <w:bookmarkStart w:id="59" w:name="_Toc199455944"/>
      <w:bookmarkStart w:id="60" w:name="_Toc205444901"/>
      <w:r w:rsidRPr="003F3C2F">
        <w:rPr>
          <w:bCs/>
        </w:rPr>
        <w:lastRenderedPageBreak/>
        <w:t>INFORMATION TO FACILITATE CLARITY, TRANSPARENCY AND UNDERSTANDING (ICTU) OF THE NDC 3.0</w:t>
      </w:r>
      <w:bookmarkEnd w:id="59"/>
      <w:bookmarkEnd w:id="60"/>
      <w:r w:rsidR="00E4785A">
        <w:rPr>
          <w:bCs/>
        </w:rPr>
        <w:t xml:space="preserve"> (To be completed following modelling exercise)</w:t>
      </w:r>
    </w:p>
    <w:tbl>
      <w:tblPr>
        <w:tblStyle w:val="TableGrid"/>
        <w:tblW w:w="9072" w:type="dxa"/>
        <w:tblInd w:w="-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694"/>
        <w:gridCol w:w="1806"/>
        <w:gridCol w:w="1570"/>
        <w:gridCol w:w="3002"/>
      </w:tblGrid>
      <w:tr w:rsidR="009A6BAB" w:rsidRPr="003F3C2F" w14:paraId="7ED4E5EE" w14:textId="77777777" w:rsidTr="00351FCE">
        <w:trPr>
          <w:trHeight w:val="103"/>
        </w:trPr>
        <w:tc>
          <w:tcPr>
            <w:tcW w:w="9072" w:type="dxa"/>
            <w:gridSpan w:val="4"/>
            <w:shd w:val="clear" w:color="auto" w:fill="95B3D7" w:themeFill="accent1" w:themeFillTint="99"/>
          </w:tcPr>
          <w:p w14:paraId="606787E2" w14:textId="77777777" w:rsidR="009A6BAB" w:rsidRPr="003F3C2F" w:rsidRDefault="009A6BAB" w:rsidP="00351FCE">
            <w:pPr>
              <w:spacing w:before="240" w:after="240" w:line="276" w:lineRule="auto"/>
            </w:pPr>
            <w:r w:rsidRPr="003F3C2F">
              <w:rPr>
                <w:b/>
                <w:bCs/>
                <w:color w:val="FFFFFF" w:themeColor="background1"/>
              </w:rPr>
              <w:t>1.Quantifiable information on the reference point (including, as appropriate, a base year)</w:t>
            </w:r>
          </w:p>
        </w:tc>
      </w:tr>
      <w:tr w:rsidR="009A6BAB" w:rsidRPr="003F3C2F" w14:paraId="057D80E0" w14:textId="77777777" w:rsidTr="00351FCE">
        <w:tc>
          <w:tcPr>
            <w:tcW w:w="2694" w:type="dxa"/>
          </w:tcPr>
          <w:p w14:paraId="4885CCD4" w14:textId="77777777" w:rsidR="009A6BAB" w:rsidRPr="003F3C2F" w:rsidRDefault="009A6BAB" w:rsidP="00351FCE">
            <w:pPr>
              <w:spacing w:before="240" w:after="240" w:line="276" w:lineRule="auto"/>
            </w:pPr>
            <w:r w:rsidRPr="003F3C2F">
              <w:t>(a) Reference year, base year, reference period or other starting points</w:t>
            </w:r>
          </w:p>
        </w:tc>
        <w:tc>
          <w:tcPr>
            <w:tcW w:w="6378" w:type="dxa"/>
            <w:gridSpan w:val="3"/>
          </w:tcPr>
          <w:p w14:paraId="500FB41C"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p>
        </w:tc>
      </w:tr>
      <w:tr w:rsidR="009A6BAB" w:rsidRPr="003F3C2F" w14:paraId="4DAE4148" w14:textId="77777777" w:rsidTr="00351FCE">
        <w:tc>
          <w:tcPr>
            <w:tcW w:w="2694" w:type="dxa"/>
          </w:tcPr>
          <w:p w14:paraId="3AC5B7AA" w14:textId="77777777" w:rsidR="009A6BAB" w:rsidRPr="003F3C2F" w:rsidRDefault="009A6BAB" w:rsidP="00351FCE">
            <w:pPr>
              <w:spacing w:before="240" w:after="240" w:line="276" w:lineRule="auto"/>
              <w:rPr>
                <w:highlight w:val="yellow"/>
              </w:rPr>
            </w:pPr>
            <w:r w:rsidRPr="003F3C2F">
              <w:t xml:space="preserve">(b) Quantifiable information on the reference indicators, their values in the reference year, base year, reference period and or other starting points and as applicable in the target year. </w:t>
            </w:r>
          </w:p>
        </w:tc>
        <w:tc>
          <w:tcPr>
            <w:tcW w:w="6378" w:type="dxa"/>
            <w:gridSpan w:val="3"/>
          </w:tcPr>
          <w:p w14:paraId="4E23C7A1" w14:textId="77777777" w:rsidR="009A6BAB" w:rsidRPr="003F3C2F" w:rsidRDefault="009A6BAB" w:rsidP="00351FCE">
            <w:pPr>
              <w:pStyle w:val="Default"/>
              <w:spacing w:before="240" w:after="240" w:line="276" w:lineRule="auto"/>
              <w:rPr>
                <w:rFonts w:ascii="Times New Roman" w:hAnsi="Times New Roman" w:cs="Times New Roman"/>
                <w:sz w:val="20"/>
                <w:szCs w:val="20"/>
              </w:rPr>
            </w:pPr>
          </w:p>
        </w:tc>
      </w:tr>
      <w:tr w:rsidR="009A6BAB" w:rsidRPr="003F3C2F" w14:paraId="7021B6D2" w14:textId="77777777" w:rsidTr="00351FCE">
        <w:trPr>
          <w:trHeight w:val="699"/>
        </w:trPr>
        <w:tc>
          <w:tcPr>
            <w:tcW w:w="2694" w:type="dxa"/>
          </w:tcPr>
          <w:tbl>
            <w:tblPr>
              <w:tblW w:w="0" w:type="auto"/>
              <w:tblBorders>
                <w:top w:val="nil"/>
                <w:left w:val="nil"/>
                <w:bottom w:val="nil"/>
                <w:right w:val="nil"/>
              </w:tblBorders>
              <w:tblLook w:val="0000" w:firstRow="0" w:lastRow="0" w:firstColumn="0" w:lastColumn="0" w:noHBand="0" w:noVBand="0"/>
            </w:tblPr>
            <w:tblGrid>
              <w:gridCol w:w="2478"/>
            </w:tblGrid>
            <w:tr w:rsidR="009A6BAB" w:rsidRPr="003F3C2F" w14:paraId="17A9A9BC" w14:textId="77777777" w:rsidTr="00351FCE">
              <w:trPr>
                <w:trHeight w:val="1583"/>
              </w:trPr>
              <w:tc>
                <w:tcPr>
                  <w:tcW w:w="0" w:type="auto"/>
                </w:tcPr>
                <w:p w14:paraId="310B402C" w14:textId="77777777" w:rsidR="009A6BAB" w:rsidRPr="003F3C2F" w:rsidRDefault="009A6BAB" w:rsidP="00351FCE">
                  <w:pPr>
                    <w:spacing w:before="240" w:after="240" w:line="276" w:lineRule="auto"/>
                    <w:ind w:left="-74"/>
                  </w:pPr>
                  <w:r w:rsidRPr="003F3C2F">
                    <w:t>(c) For strategies, plans and actions referred to in Article 4, paragraph 6, of the Paris Agreement, or polices and measures as components of nationally determined contributions where paragraph 1(b) above is not applicable, Parties to provide other relevant information.</w:t>
                  </w:r>
                </w:p>
              </w:tc>
            </w:tr>
          </w:tbl>
          <w:p w14:paraId="62E14B4A" w14:textId="77777777" w:rsidR="009A6BAB" w:rsidRPr="003F3C2F" w:rsidRDefault="009A6BAB" w:rsidP="00351FCE">
            <w:pPr>
              <w:spacing w:before="240" w:after="240" w:line="276" w:lineRule="auto"/>
            </w:pPr>
          </w:p>
        </w:tc>
        <w:tc>
          <w:tcPr>
            <w:tcW w:w="6378" w:type="dxa"/>
            <w:gridSpan w:val="3"/>
          </w:tcPr>
          <w:p w14:paraId="78124659" w14:textId="77777777" w:rsidR="009A6BAB" w:rsidRPr="003F3C2F" w:rsidRDefault="009A6BAB" w:rsidP="00351FCE">
            <w:pPr>
              <w:spacing w:before="240" w:after="240" w:line="276" w:lineRule="auto"/>
              <w:jc w:val="both"/>
              <w:rPr>
                <w:rFonts w:eastAsia="Georgia"/>
              </w:rPr>
            </w:pPr>
          </w:p>
        </w:tc>
      </w:tr>
      <w:tr w:rsidR="009A6BAB" w:rsidRPr="003F3C2F" w14:paraId="75C1A50A" w14:textId="77777777" w:rsidTr="00351FCE">
        <w:tc>
          <w:tcPr>
            <w:tcW w:w="2694" w:type="dxa"/>
          </w:tcPr>
          <w:p w14:paraId="586F851B" w14:textId="77777777" w:rsidR="009A6BAB" w:rsidRPr="003F3C2F" w:rsidRDefault="009A6BAB" w:rsidP="00351FCE">
            <w:pPr>
              <w:spacing w:before="240" w:after="240" w:line="276" w:lineRule="auto"/>
              <w:ind w:left="34"/>
            </w:pPr>
            <w:r w:rsidRPr="003F3C2F">
              <w:t>(d) Target relative to the reference indicator, expressed numerically, for example in percentage or amount of reduction</w:t>
            </w:r>
          </w:p>
        </w:tc>
        <w:tc>
          <w:tcPr>
            <w:tcW w:w="6378" w:type="dxa"/>
            <w:gridSpan w:val="3"/>
          </w:tcPr>
          <w:p w14:paraId="49524F86" w14:textId="77777777" w:rsidR="009A6BAB" w:rsidRPr="003F3C2F" w:rsidRDefault="009A6BAB" w:rsidP="00351FCE">
            <w:pPr>
              <w:spacing w:before="240" w:after="240" w:line="276" w:lineRule="auto"/>
              <w:jc w:val="both"/>
              <w:rPr>
                <w:rFonts w:eastAsia="Georgia"/>
              </w:rPr>
            </w:pPr>
          </w:p>
        </w:tc>
      </w:tr>
      <w:tr w:rsidR="009A6BAB" w:rsidRPr="003F3C2F" w14:paraId="60C9E499" w14:textId="77777777" w:rsidTr="00351FCE">
        <w:tc>
          <w:tcPr>
            <w:tcW w:w="2694" w:type="dxa"/>
          </w:tcPr>
          <w:p w14:paraId="20E556EA" w14:textId="77777777" w:rsidR="009A6BAB" w:rsidRPr="003F3C2F" w:rsidRDefault="009A6BAB" w:rsidP="00351FCE">
            <w:pPr>
              <w:spacing w:before="240" w:after="240" w:line="276" w:lineRule="auto"/>
              <w:ind w:left="34"/>
            </w:pPr>
            <w:r w:rsidRPr="003F3C2F">
              <w:t>(e) Information on sources of data used in quantifying the reference point:</w:t>
            </w:r>
          </w:p>
        </w:tc>
        <w:tc>
          <w:tcPr>
            <w:tcW w:w="6378" w:type="dxa"/>
            <w:gridSpan w:val="3"/>
          </w:tcPr>
          <w:p w14:paraId="1944003D" w14:textId="77777777" w:rsidR="009A6BAB" w:rsidRPr="003F3C2F" w:rsidRDefault="009A6BAB" w:rsidP="00351FCE">
            <w:pPr>
              <w:spacing w:before="240" w:after="240" w:line="276" w:lineRule="auto"/>
            </w:pPr>
          </w:p>
        </w:tc>
      </w:tr>
      <w:tr w:rsidR="009A6BAB" w:rsidRPr="003F3C2F" w14:paraId="0480FCDE" w14:textId="77777777" w:rsidTr="00351FCE">
        <w:tc>
          <w:tcPr>
            <w:tcW w:w="2694" w:type="dxa"/>
          </w:tcPr>
          <w:p w14:paraId="3C53A384" w14:textId="77777777" w:rsidR="009A6BAB" w:rsidRPr="003F3C2F" w:rsidRDefault="009A6BAB" w:rsidP="00351FCE">
            <w:pPr>
              <w:keepNext/>
              <w:keepLines/>
              <w:spacing w:before="240" w:after="240" w:line="276" w:lineRule="auto"/>
              <w:ind w:left="34"/>
            </w:pPr>
            <w:r w:rsidRPr="003F3C2F">
              <w:lastRenderedPageBreak/>
              <w:t>(f) Information on the circumstances under which the Party may update the values of the reference indicators:</w:t>
            </w:r>
          </w:p>
        </w:tc>
        <w:tc>
          <w:tcPr>
            <w:tcW w:w="6378" w:type="dxa"/>
            <w:gridSpan w:val="3"/>
          </w:tcPr>
          <w:p w14:paraId="6FB4C1F0" w14:textId="77777777" w:rsidR="009A6BAB" w:rsidRPr="003F3C2F" w:rsidRDefault="009A6BAB" w:rsidP="00351FCE">
            <w:pPr>
              <w:spacing w:before="240" w:after="240" w:line="276" w:lineRule="auto"/>
              <w:jc w:val="both"/>
            </w:pPr>
          </w:p>
        </w:tc>
      </w:tr>
      <w:tr w:rsidR="009A6BAB" w:rsidRPr="003F3C2F" w14:paraId="137C6198" w14:textId="77777777" w:rsidTr="00351FCE">
        <w:tc>
          <w:tcPr>
            <w:tcW w:w="9072" w:type="dxa"/>
            <w:gridSpan w:val="4"/>
            <w:shd w:val="clear" w:color="auto" w:fill="95B3D7" w:themeFill="accent1" w:themeFillTint="99"/>
          </w:tcPr>
          <w:p w14:paraId="63717AAE" w14:textId="77777777" w:rsidR="009A6BAB" w:rsidRPr="003F3C2F" w:rsidRDefault="009A6BAB" w:rsidP="00351FCE">
            <w:pPr>
              <w:spacing w:before="240" w:after="240" w:line="276" w:lineRule="auto"/>
            </w:pPr>
            <w:r w:rsidRPr="003F3C2F">
              <w:rPr>
                <w:b/>
                <w:bCs/>
                <w:color w:val="FFFFFF" w:themeColor="background1"/>
              </w:rPr>
              <w:t>2. Timeframe and or period of implementation</w:t>
            </w:r>
          </w:p>
        </w:tc>
      </w:tr>
      <w:tr w:rsidR="009A6BAB" w:rsidRPr="003F3C2F" w14:paraId="4D000C54" w14:textId="77777777" w:rsidTr="00351FCE">
        <w:tc>
          <w:tcPr>
            <w:tcW w:w="2694" w:type="dxa"/>
          </w:tcPr>
          <w:p w14:paraId="25B8CBC7" w14:textId="77777777" w:rsidR="009A6BAB" w:rsidRPr="003F3C2F" w:rsidRDefault="009A6BAB" w:rsidP="00351FCE">
            <w:pPr>
              <w:spacing w:before="240" w:after="240" w:line="276" w:lineRule="auto"/>
            </w:pPr>
            <w:r w:rsidRPr="003F3C2F">
              <w:t>(a) Time frame and period of implementation</w:t>
            </w:r>
          </w:p>
        </w:tc>
        <w:tc>
          <w:tcPr>
            <w:tcW w:w="6378" w:type="dxa"/>
            <w:gridSpan w:val="3"/>
          </w:tcPr>
          <w:p w14:paraId="3D6E56AD" w14:textId="77777777" w:rsidR="009A6BAB" w:rsidRPr="003F3C2F" w:rsidRDefault="009A6BAB" w:rsidP="00351FCE">
            <w:pPr>
              <w:spacing w:before="240" w:after="240" w:line="276" w:lineRule="auto"/>
            </w:pPr>
          </w:p>
        </w:tc>
      </w:tr>
      <w:tr w:rsidR="009A6BAB" w:rsidRPr="003F3C2F" w14:paraId="484EC7B8" w14:textId="77777777" w:rsidTr="00351FCE">
        <w:tc>
          <w:tcPr>
            <w:tcW w:w="2694" w:type="dxa"/>
          </w:tcPr>
          <w:p w14:paraId="15E5D86C"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r w:rsidRPr="003F3C2F">
              <w:rPr>
                <w:rFonts w:ascii="Times New Roman" w:hAnsi="Times New Roman" w:cs="Times New Roman"/>
                <w:sz w:val="20"/>
                <w:szCs w:val="20"/>
                <w:lang w:val="en-GB"/>
              </w:rPr>
              <w:t>(b) Whether it is a single-year or multi-year target, as applicable</w:t>
            </w:r>
          </w:p>
        </w:tc>
        <w:tc>
          <w:tcPr>
            <w:tcW w:w="6378" w:type="dxa"/>
            <w:gridSpan w:val="3"/>
          </w:tcPr>
          <w:p w14:paraId="2DAC5BE9" w14:textId="77777777" w:rsidR="009A6BAB" w:rsidRPr="003F3C2F" w:rsidRDefault="009A6BAB" w:rsidP="00351FCE">
            <w:pPr>
              <w:spacing w:before="240" w:after="240" w:line="276" w:lineRule="auto"/>
            </w:pPr>
          </w:p>
        </w:tc>
      </w:tr>
      <w:tr w:rsidR="009A6BAB" w:rsidRPr="003F3C2F" w14:paraId="62303466" w14:textId="77777777" w:rsidTr="00351FCE">
        <w:tc>
          <w:tcPr>
            <w:tcW w:w="9072" w:type="dxa"/>
            <w:gridSpan w:val="4"/>
            <w:shd w:val="clear" w:color="auto" w:fill="95B3D7" w:themeFill="accent1" w:themeFillTint="99"/>
          </w:tcPr>
          <w:p w14:paraId="1150C207" w14:textId="77777777" w:rsidR="009A6BAB" w:rsidRPr="003F3C2F" w:rsidRDefault="009A6BAB" w:rsidP="00351FCE">
            <w:pPr>
              <w:spacing w:before="240" w:after="240" w:line="276" w:lineRule="auto"/>
            </w:pPr>
            <w:r w:rsidRPr="003F3C2F">
              <w:rPr>
                <w:b/>
                <w:bCs/>
                <w:color w:val="FFFFFF" w:themeColor="background1"/>
              </w:rPr>
              <w:t>3. Scope and Coverage</w:t>
            </w:r>
          </w:p>
        </w:tc>
      </w:tr>
      <w:tr w:rsidR="009A6BAB" w:rsidRPr="003F3C2F" w14:paraId="0535C67F" w14:textId="77777777" w:rsidTr="00351FCE">
        <w:tc>
          <w:tcPr>
            <w:tcW w:w="2694" w:type="dxa"/>
          </w:tcPr>
          <w:p w14:paraId="6E570D2F"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r w:rsidRPr="003F3C2F">
              <w:rPr>
                <w:rFonts w:ascii="Times New Roman" w:hAnsi="Times New Roman" w:cs="Times New Roman"/>
                <w:sz w:val="20"/>
                <w:szCs w:val="20"/>
                <w:lang w:val="en-GB"/>
              </w:rPr>
              <w:t>(a) General description of the target:</w:t>
            </w:r>
          </w:p>
        </w:tc>
        <w:tc>
          <w:tcPr>
            <w:tcW w:w="6378" w:type="dxa"/>
            <w:gridSpan w:val="3"/>
          </w:tcPr>
          <w:p w14:paraId="1CA1C601" w14:textId="77777777" w:rsidR="009A6BAB" w:rsidRPr="003F3C2F" w:rsidRDefault="009A6BAB" w:rsidP="00351FCE">
            <w:pPr>
              <w:spacing w:before="240" w:after="240" w:line="276" w:lineRule="auto"/>
              <w:jc w:val="both"/>
              <w:rPr>
                <w:bCs/>
              </w:rPr>
            </w:pPr>
          </w:p>
        </w:tc>
      </w:tr>
      <w:tr w:rsidR="009A6BAB" w:rsidRPr="003F3C2F" w14:paraId="0331773B" w14:textId="77777777" w:rsidTr="00351FCE">
        <w:tc>
          <w:tcPr>
            <w:tcW w:w="2694" w:type="dxa"/>
          </w:tcPr>
          <w:p w14:paraId="7B0C971A"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r w:rsidRPr="003F3C2F">
              <w:rPr>
                <w:rFonts w:ascii="Times New Roman" w:hAnsi="Times New Roman" w:cs="Times New Roman"/>
                <w:sz w:val="20"/>
                <w:szCs w:val="20"/>
                <w:lang w:val="en-GB"/>
              </w:rPr>
              <w:t>(b) Sectors, gases, categories and pools covered by the nationally determined contribution, including, as applicable, consistent with Intergovernmental Panel on Climate Change (IPCC) guidelines;</w:t>
            </w:r>
          </w:p>
        </w:tc>
        <w:tc>
          <w:tcPr>
            <w:tcW w:w="6378" w:type="dxa"/>
            <w:gridSpan w:val="3"/>
          </w:tcPr>
          <w:p w14:paraId="2D0DBDA7" w14:textId="77777777" w:rsidR="009A6BAB" w:rsidRPr="003F3C2F" w:rsidRDefault="009A6BAB" w:rsidP="00351FCE">
            <w:pPr>
              <w:spacing w:before="240" w:after="240" w:line="276" w:lineRule="auto"/>
              <w:jc w:val="both"/>
            </w:pPr>
          </w:p>
        </w:tc>
      </w:tr>
      <w:tr w:rsidR="009A6BAB" w:rsidRPr="003F3C2F" w14:paraId="62FC20AA" w14:textId="77777777" w:rsidTr="00351FCE">
        <w:tc>
          <w:tcPr>
            <w:tcW w:w="2694" w:type="dxa"/>
          </w:tcPr>
          <w:p w14:paraId="1BB7B175"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r w:rsidRPr="003F3C2F">
              <w:rPr>
                <w:rFonts w:ascii="Times New Roman" w:hAnsi="Times New Roman" w:cs="Times New Roman"/>
                <w:sz w:val="20"/>
                <w:szCs w:val="20"/>
                <w:lang w:val="en-GB"/>
              </w:rPr>
              <w:t>c) How the Party has taken into consideration paragraphs 31 (c) and (d) of decision 1/CP.21:</w:t>
            </w:r>
          </w:p>
        </w:tc>
        <w:tc>
          <w:tcPr>
            <w:tcW w:w="6378" w:type="dxa"/>
            <w:gridSpan w:val="3"/>
          </w:tcPr>
          <w:p w14:paraId="711F909F" w14:textId="77777777" w:rsidR="009A6BAB" w:rsidRPr="003F3C2F" w:rsidRDefault="009A6BAB" w:rsidP="00351FCE">
            <w:pPr>
              <w:spacing w:before="240" w:after="240" w:line="276" w:lineRule="auto"/>
              <w:jc w:val="both"/>
              <w:rPr>
                <w:highlight w:val="yellow"/>
              </w:rPr>
            </w:pPr>
          </w:p>
        </w:tc>
      </w:tr>
      <w:tr w:rsidR="009A6BAB" w:rsidRPr="003F3C2F" w14:paraId="56F08864" w14:textId="77777777" w:rsidTr="00351FCE">
        <w:tc>
          <w:tcPr>
            <w:tcW w:w="2694" w:type="dxa"/>
          </w:tcPr>
          <w:p w14:paraId="7D7E122A" w14:textId="77777777" w:rsidR="009A6BAB" w:rsidRPr="003F3C2F" w:rsidRDefault="009A6BAB" w:rsidP="00351FCE">
            <w:pPr>
              <w:pStyle w:val="Default"/>
              <w:spacing w:before="240" w:after="240" w:line="276" w:lineRule="auto"/>
              <w:rPr>
                <w:rFonts w:ascii="Times New Roman" w:hAnsi="Times New Roman" w:cs="Times New Roman"/>
                <w:sz w:val="20"/>
                <w:szCs w:val="20"/>
                <w:lang w:val="en-GB"/>
              </w:rPr>
            </w:pPr>
            <w:r w:rsidRPr="003F3C2F">
              <w:rPr>
                <w:rFonts w:ascii="Times New Roman" w:hAnsi="Times New Roman" w:cs="Times New Roman"/>
                <w:sz w:val="20"/>
                <w:szCs w:val="20"/>
                <w:lang w:val="en-GB"/>
              </w:rPr>
              <w:t xml:space="preserve">(d) Mitigation co-benefits resulting from Parties’ adaptation actions and/or economic diversification plans, including description of specific projects, measures and initiatives of Parties’ </w:t>
            </w:r>
            <w:r w:rsidRPr="003F3C2F">
              <w:rPr>
                <w:rFonts w:ascii="Times New Roman" w:hAnsi="Times New Roman" w:cs="Times New Roman"/>
                <w:sz w:val="20"/>
                <w:szCs w:val="20"/>
                <w:lang w:val="en-GB"/>
              </w:rPr>
              <w:lastRenderedPageBreak/>
              <w:t>adaptation actions and/or economic diversification plans.</w:t>
            </w:r>
          </w:p>
        </w:tc>
        <w:tc>
          <w:tcPr>
            <w:tcW w:w="6378" w:type="dxa"/>
            <w:gridSpan w:val="3"/>
          </w:tcPr>
          <w:p w14:paraId="688BD17D" w14:textId="77777777" w:rsidR="009A6BAB" w:rsidRPr="003F3C2F" w:rsidRDefault="009A6BAB" w:rsidP="00351FCE">
            <w:pPr>
              <w:pStyle w:val="ListParagraph"/>
              <w:numPr>
                <w:ilvl w:val="0"/>
                <w:numId w:val="13"/>
              </w:numPr>
              <w:spacing w:before="240" w:after="240"/>
              <w:ind w:left="457"/>
              <w:contextualSpacing w:val="0"/>
              <w:jc w:val="both"/>
              <w:rPr>
                <w:rFonts w:ascii="Times New Roman" w:hAnsi="Times New Roman" w:cs="Times New Roman"/>
                <w:sz w:val="20"/>
                <w:szCs w:val="20"/>
              </w:rPr>
            </w:pPr>
          </w:p>
        </w:tc>
      </w:tr>
      <w:tr w:rsidR="009A6BAB" w:rsidRPr="003F3C2F" w14:paraId="6921FC28" w14:textId="77777777" w:rsidTr="00351FCE">
        <w:tc>
          <w:tcPr>
            <w:tcW w:w="9072" w:type="dxa"/>
            <w:gridSpan w:val="4"/>
            <w:shd w:val="clear" w:color="auto" w:fill="95B3D7" w:themeFill="accent1" w:themeFillTint="99"/>
          </w:tcPr>
          <w:p w14:paraId="64AD5851" w14:textId="77777777" w:rsidR="009A6BAB" w:rsidRPr="003F3C2F" w:rsidRDefault="009A6BAB" w:rsidP="00351FCE">
            <w:pPr>
              <w:spacing w:before="240" w:after="240" w:line="276" w:lineRule="auto"/>
              <w:rPr>
                <w:color w:val="FFFFFF" w:themeColor="background1"/>
              </w:rPr>
            </w:pPr>
            <w:r w:rsidRPr="003F3C2F">
              <w:rPr>
                <w:b/>
                <w:bCs/>
                <w:color w:val="FFFFFF" w:themeColor="background1"/>
              </w:rPr>
              <w:lastRenderedPageBreak/>
              <w:t>4. Planning Processes</w:t>
            </w:r>
          </w:p>
        </w:tc>
      </w:tr>
      <w:tr w:rsidR="009A6BAB" w:rsidRPr="003F3C2F" w14:paraId="669B6134" w14:textId="77777777" w:rsidTr="00351FCE">
        <w:tc>
          <w:tcPr>
            <w:tcW w:w="9072" w:type="dxa"/>
            <w:gridSpan w:val="4"/>
            <w:shd w:val="clear" w:color="auto" w:fill="95B3D7" w:themeFill="accent1" w:themeFillTint="99"/>
          </w:tcPr>
          <w:p w14:paraId="57D3777A" w14:textId="77777777" w:rsidR="009A6BAB" w:rsidRPr="003F3C2F" w:rsidRDefault="009A6BAB" w:rsidP="00351FCE">
            <w:pPr>
              <w:spacing w:before="240" w:after="240" w:line="276" w:lineRule="auto"/>
              <w:rPr>
                <w:b/>
                <w:bCs/>
                <w:color w:val="FFFFFF" w:themeColor="background1"/>
              </w:rPr>
            </w:pPr>
            <w:r w:rsidRPr="003F3C2F">
              <w:rPr>
                <w:b/>
                <w:bCs/>
                <w:color w:val="FFFFFF" w:themeColor="background1"/>
              </w:rPr>
              <w:t>(a) Information on the planning processes that the Party undertook to prepare its nationally determined contribution and implementation plans, including: domestic institutional arrangements, public participation and engagement with local communities and indigenous peoples, in a gender-responsive manner.</w:t>
            </w:r>
          </w:p>
        </w:tc>
      </w:tr>
      <w:tr w:rsidR="009A6BAB" w:rsidRPr="003F3C2F" w14:paraId="1EE2006D" w14:textId="77777777" w:rsidTr="00351FCE">
        <w:tc>
          <w:tcPr>
            <w:tcW w:w="2694" w:type="dxa"/>
          </w:tcPr>
          <w:p w14:paraId="71ECF894" w14:textId="77777777" w:rsidR="009A6BAB" w:rsidRPr="003F3C2F" w:rsidRDefault="009A6BAB" w:rsidP="00351FCE">
            <w:pPr>
              <w:spacing w:before="240" w:after="240" w:line="276" w:lineRule="auto"/>
            </w:pPr>
            <w:r w:rsidRPr="003F3C2F">
              <w:t>(i) Domestic institutional arrangements, public participation and engagement with local communities and indigenous peoples, in a gender-responsive manner</w:t>
            </w:r>
          </w:p>
        </w:tc>
        <w:tc>
          <w:tcPr>
            <w:tcW w:w="6378" w:type="dxa"/>
            <w:gridSpan w:val="3"/>
          </w:tcPr>
          <w:p w14:paraId="2B094D2A" w14:textId="77777777" w:rsidR="009A6BAB" w:rsidRPr="003F3C2F" w:rsidRDefault="009A6BAB" w:rsidP="00351FCE">
            <w:pPr>
              <w:spacing w:before="240" w:after="240" w:line="276" w:lineRule="auto"/>
              <w:jc w:val="both"/>
              <w:rPr>
                <w:rFonts w:eastAsia="Georgia"/>
                <w:highlight w:val="yellow"/>
              </w:rPr>
            </w:pPr>
            <w:r w:rsidRPr="003F3C2F">
              <w:rPr>
                <w:rFonts w:eastAsia="Georgia"/>
                <w:highlight w:val="yellow"/>
              </w:rPr>
              <w:t>Refer to section 2. NDC 3.0 process.</w:t>
            </w:r>
          </w:p>
        </w:tc>
      </w:tr>
      <w:tr w:rsidR="009A6BAB" w:rsidRPr="003F3C2F" w14:paraId="37DDC9FD" w14:textId="77777777" w:rsidTr="00351FCE">
        <w:tc>
          <w:tcPr>
            <w:tcW w:w="2694" w:type="dxa"/>
            <w:vMerge w:val="restart"/>
          </w:tcPr>
          <w:p w14:paraId="5F3729F7" w14:textId="77777777" w:rsidR="009A6BAB" w:rsidRPr="003F3C2F" w:rsidRDefault="009A6BAB" w:rsidP="00351FCE">
            <w:pPr>
              <w:spacing w:before="240" w:after="240" w:line="276" w:lineRule="auto"/>
            </w:pPr>
            <w:r w:rsidRPr="003F3C2F">
              <w:t>(ii) Contextual matters, including, inter alia, as appropriate: National circumstances, such as geography, climate, economy, sustainable development and poverty eradication;</w:t>
            </w:r>
          </w:p>
        </w:tc>
        <w:tc>
          <w:tcPr>
            <w:tcW w:w="1806" w:type="dxa"/>
          </w:tcPr>
          <w:p w14:paraId="6251D6CC" w14:textId="77777777" w:rsidR="009A6BAB" w:rsidRPr="003F3C2F" w:rsidRDefault="009A6BAB" w:rsidP="00351FCE">
            <w:pPr>
              <w:spacing w:before="240" w:after="240" w:line="276" w:lineRule="auto"/>
            </w:pPr>
            <w:r w:rsidRPr="003F3C2F">
              <w:t>a. National circumstances, such as geography, climate, economy, sustainable development and poverty eradication</w:t>
            </w:r>
          </w:p>
        </w:tc>
        <w:tc>
          <w:tcPr>
            <w:tcW w:w="4572" w:type="dxa"/>
            <w:gridSpan w:val="2"/>
          </w:tcPr>
          <w:p w14:paraId="78AA49CA" w14:textId="77777777" w:rsidR="009A6BAB" w:rsidRPr="003F3C2F" w:rsidRDefault="009A6BAB" w:rsidP="00351FCE">
            <w:pPr>
              <w:pBdr>
                <w:top w:val="nil"/>
                <w:left w:val="nil"/>
                <w:bottom w:val="nil"/>
                <w:right w:val="nil"/>
                <w:between w:val="nil"/>
              </w:pBdr>
              <w:spacing w:before="240" w:after="240" w:line="276" w:lineRule="auto"/>
              <w:jc w:val="both"/>
              <w:rPr>
                <w:rFonts w:eastAsia="Georgia"/>
                <w:color w:val="000000"/>
              </w:rPr>
            </w:pPr>
            <w:r w:rsidRPr="003F3C2F">
              <w:rPr>
                <w:rFonts w:eastAsia="Georgia"/>
                <w:highlight w:val="yellow"/>
              </w:rPr>
              <w:t>Refer to section 1.2. National Circumstances and 1.3.1. National Development Priorities</w:t>
            </w:r>
          </w:p>
        </w:tc>
      </w:tr>
      <w:tr w:rsidR="009A6BAB" w:rsidRPr="003F3C2F" w14:paraId="74EEA268" w14:textId="77777777" w:rsidTr="00351FCE">
        <w:tc>
          <w:tcPr>
            <w:tcW w:w="2694" w:type="dxa"/>
            <w:vMerge/>
          </w:tcPr>
          <w:p w14:paraId="529AAF46" w14:textId="77777777" w:rsidR="009A6BAB" w:rsidRPr="003F3C2F" w:rsidRDefault="009A6BAB" w:rsidP="00351FCE">
            <w:pPr>
              <w:spacing w:before="240" w:after="240" w:line="276" w:lineRule="auto"/>
            </w:pPr>
          </w:p>
        </w:tc>
        <w:tc>
          <w:tcPr>
            <w:tcW w:w="1806" w:type="dxa"/>
          </w:tcPr>
          <w:p w14:paraId="1342EB65" w14:textId="77777777" w:rsidR="009A6BAB" w:rsidRPr="003F3C2F" w:rsidRDefault="009A6BAB" w:rsidP="00351FCE">
            <w:pPr>
              <w:spacing w:before="240" w:after="240" w:line="276" w:lineRule="auto"/>
            </w:pPr>
            <w:r w:rsidRPr="003F3C2F">
              <w:t>b. Best practices and experience related to the preparation of the nationally determined contribution;</w:t>
            </w:r>
          </w:p>
        </w:tc>
        <w:tc>
          <w:tcPr>
            <w:tcW w:w="4572" w:type="dxa"/>
            <w:gridSpan w:val="2"/>
          </w:tcPr>
          <w:p w14:paraId="094D48CD" w14:textId="77777777" w:rsidR="009A6BAB" w:rsidRPr="003F3C2F" w:rsidRDefault="009A6BAB" w:rsidP="00351FCE">
            <w:pPr>
              <w:spacing w:before="240" w:after="240" w:line="276" w:lineRule="auto"/>
              <w:jc w:val="both"/>
            </w:pPr>
            <w:r w:rsidRPr="003F3C2F">
              <w:rPr>
                <w:rFonts w:eastAsia="Georgia"/>
                <w:highlight w:val="yellow"/>
              </w:rPr>
              <w:t>Refer to section 2. NDC 3.0 process.</w:t>
            </w:r>
          </w:p>
        </w:tc>
      </w:tr>
      <w:tr w:rsidR="009A6BAB" w:rsidRPr="003F3C2F" w14:paraId="420ABC2F" w14:textId="77777777" w:rsidTr="00351FCE">
        <w:tc>
          <w:tcPr>
            <w:tcW w:w="2694" w:type="dxa"/>
            <w:vMerge/>
          </w:tcPr>
          <w:p w14:paraId="01D969FE" w14:textId="77777777" w:rsidR="009A6BAB" w:rsidRPr="003F3C2F" w:rsidRDefault="009A6BAB" w:rsidP="00351FCE">
            <w:pPr>
              <w:spacing w:before="240" w:after="240" w:line="276" w:lineRule="auto"/>
            </w:pPr>
          </w:p>
        </w:tc>
        <w:tc>
          <w:tcPr>
            <w:tcW w:w="1806" w:type="dxa"/>
          </w:tcPr>
          <w:p w14:paraId="0CC3F2A5" w14:textId="77777777" w:rsidR="009A6BAB" w:rsidRPr="003F3C2F" w:rsidRDefault="009A6BAB" w:rsidP="00351FCE">
            <w:pPr>
              <w:spacing w:before="240" w:after="240" w:line="276" w:lineRule="auto"/>
            </w:pPr>
            <w:r w:rsidRPr="003F3C2F">
              <w:t>c. Other contextual aspirations and priorities acknowledged when joining the Paris Agreement;</w:t>
            </w:r>
          </w:p>
        </w:tc>
        <w:tc>
          <w:tcPr>
            <w:tcW w:w="4572" w:type="dxa"/>
            <w:gridSpan w:val="2"/>
          </w:tcPr>
          <w:p w14:paraId="54404E5A" w14:textId="77777777" w:rsidR="009A6BAB" w:rsidRPr="003F3C2F" w:rsidRDefault="009A6BAB" w:rsidP="00351FCE">
            <w:pPr>
              <w:spacing w:before="240" w:after="240" w:line="276" w:lineRule="auto"/>
            </w:pPr>
          </w:p>
        </w:tc>
      </w:tr>
      <w:tr w:rsidR="009A6BAB" w:rsidRPr="003F3C2F" w14:paraId="4FA22AEB" w14:textId="77777777" w:rsidTr="00351FCE">
        <w:tc>
          <w:tcPr>
            <w:tcW w:w="2694" w:type="dxa"/>
          </w:tcPr>
          <w:p w14:paraId="30E23E67" w14:textId="77777777" w:rsidR="009A6BAB" w:rsidRPr="003F3C2F" w:rsidRDefault="009A6BAB" w:rsidP="00351FCE">
            <w:pPr>
              <w:spacing w:before="240" w:after="240" w:line="276" w:lineRule="auto"/>
            </w:pPr>
            <w:r w:rsidRPr="003F3C2F">
              <w:t xml:space="preserve">(b) Specific information applicable to Parties, including </w:t>
            </w:r>
            <w:r w:rsidRPr="003F3C2F">
              <w:lastRenderedPageBreak/>
              <w:t>regional economic integration organizations and their member States, that have reached an agreement to act jointly under Article 4, paragraph 2, of the Paris Agreement</w:t>
            </w:r>
          </w:p>
        </w:tc>
        <w:tc>
          <w:tcPr>
            <w:tcW w:w="6378" w:type="dxa"/>
            <w:gridSpan w:val="3"/>
          </w:tcPr>
          <w:p w14:paraId="7280BB66" w14:textId="77777777" w:rsidR="009A6BAB" w:rsidRPr="003F3C2F" w:rsidRDefault="009A6BAB" w:rsidP="00351FCE">
            <w:pPr>
              <w:spacing w:before="240" w:after="240" w:line="276" w:lineRule="auto"/>
            </w:pPr>
          </w:p>
        </w:tc>
      </w:tr>
      <w:tr w:rsidR="009A6BAB" w:rsidRPr="003F3C2F" w14:paraId="39E88AB0" w14:textId="77777777" w:rsidTr="00351FCE">
        <w:tc>
          <w:tcPr>
            <w:tcW w:w="2694" w:type="dxa"/>
          </w:tcPr>
          <w:p w14:paraId="1B5564BF" w14:textId="77777777" w:rsidR="009A6BAB" w:rsidRPr="003F3C2F" w:rsidRDefault="009A6BAB" w:rsidP="00351FCE">
            <w:pPr>
              <w:spacing w:before="240" w:after="240" w:line="276" w:lineRule="auto"/>
            </w:pPr>
            <w:r w:rsidRPr="003F3C2F">
              <w:lastRenderedPageBreak/>
              <w:t>c) How the Party’s preparation of its nationally determined contribution has been informed by the outcomes of the global stocktake, in accordance with Article 4, paragraph 9, of the Paris Agreement;</w:t>
            </w:r>
          </w:p>
        </w:tc>
        <w:tc>
          <w:tcPr>
            <w:tcW w:w="6378" w:type="dxa"/>
            <w:gridSpan w:val="3"/>
          </w:tcPr>
          <w:p w14:paraId="3606B207" w14:textId="77777777" w:rsidR="009A6BAB" w:rsidRPr="003F3C2F" w:rsidRDefault="009A6BAB" w:rsidP="00351FCE">
            <w:pPr>
              <w:spacing w:before="240" w:after="240" w:line="276" w:lineRule="auto"/>
              <w:jc w:val="both"/>
            </w:pPr>
            <w:r w:rsidRPr="003F3C2F">
              <w:rPr>
                <w:rFonts w:eastAsia="Georgia"/>
                <w:highlight w:val="yellow"/>
              </w:rPr>
              <w:t>Refer to section 2. NDC 3.0 process.</w:t>
            </w:r>
          </w:p>
        </w:tc>
      </w:tr>
      <w:tr w:rsidR="009A6BAB" w:rsidRPr="003F3C2F" w14:paraId="6EC9ACA9" w14:textId="77777777" w:rsidTr="00351FCE">
        <w:tc>
          <w:tcPr>
            <w:tcW w:w="2694" w:type="dxa"/>
            <w:vMerge w:val="restart"/>
          </w:tcPr>
          <w:p w14:paraId="291D5B1B" w14:textId="77777777" w:rsidR="009A6BAB" w:rsidRPr="003F3C2F" w:rsidRDefault="009A6BAB" w:rsidP="00351FCE">
            <w:pPr>
              <w:spacing w:before="240" w:after="240" w:line="276" w:lineRule="auto"/>
            </w:pPr>
            <w:r w:rsidRPr="003F3C2F">
              <w:t>(d) Each Party with a nationally determined contribution under Article 4 of the Paris Agreement that consists of adaptation action and/or economic diversification plans resulting in mitigation co-benefits consistent with Article 4, paragraph 7, of the Paris Agreement to submit information on:</w:t>
            </w:r>
          </w:p>
        </w:tc>
        <w:tc>
          <w:tcPr>
            <w:tcW w:w="3376" w:type="dxa"/>
            <w:gridSpan w:val="2"/>
          </w:tcPr>
          <w:p w14:paraId="663CD420" w14:textId="77777777" w:rsidR="009A6BAB" w:rsidRPr="003F3C2F" w:rsidRDefault="009A6BAB" w:rsidP="00351FCE">
            <w:pPr>
              <w:spacing w:before="240" w:after="240" w:line="276" w:lineRule="auto"/>
              <w:jc w:val="both"/>
            </w:pPr>
            <w:r w:rsidRPr="003F3C2F">
              <w:t>(i) How the economic and social consequences of response measures have been considered in developing the nationally determined contribution;</w:t>
            </w:r>
          </w:p>
        </w:tc>
        <w:tc>
          <w:tcPr>
            <w:tcW w:w="3002" w:type="dxa"/>
          </w:tcPr>
          <w:p w14:paraId="46A2CE1B" w14:textId="77777777" w:rsidR="009A6BAB" w:rsidRPr="003F3C2F" w:rsidRDefault="009A6BAB" w:rsidP="00351FCE">
            <w:pPr>
              <w:spacing w:before="240" w:after="240" w:line="276" w:lineRule="auto"/>
              <w:jc w:val="both"/>
            </w:pPr>
            <w:r w:rsidRPr="003F3C2F">
              <w:rPr>
                <w:rFonts w:eastAsia="Georgia"/>
                <w:highlight w:val="yellow"/>
              </w:rPr>
              <w:t>Refer to section 2. NDC 3.0 process.</w:t>
            </w:r>
          </w:p>
        </w:tc>
      </w:tr>
      <w:tr w:rsidR="009A6BAB" w:rsidRPr="003F3C2F" w14:paraId="679E096C" w14:textId="77777777" w:rsidTr="00351FCE">
        <w:tc>
          <w:tcPr>
            <w:tcW w:w="2694" w:type="dxa"/>
            <w:vMerge/>
          </w:tcPr>
          <w:p w14:paraId="49F1BAD7" w14:textId="77777777" w:rsidR="009A6BAB" w:rsidRPr="003F3C2F" w:rsidRDefault="009A6BAB" w:rsidP="00351FCE">
            <w:pPr>
              <w:spacing w:before="240" w:after="240" w:line="276" w:lineRule="auto"/>
            </w:pPr>
          </w:p>
        </w:tc>
        <w:tc>
          <w:tcPr>
            <w:tcW w:w="3376" w:type="dxa"/>
            <w:gridSpan w:val="2"/>
          </w:tcPr>
          <w:p w14:paraId="5999B613" w14:textId="77777777" w:rsidR="009A6BAB" w:rsidRPr="003F3C2F" w:rsidRDefault="009A6BAB" w:rsidP="00351FCE">
            <w:pPr>
              <w:spacing w:before="240" w:after="240" w:line="276" w:lineRule="auto"/>
              <w:jc w:val="both"/>
            </w:pPr>
            <w:r w:rsidRPr="003F3C2F">
              <w:t>ii) Specific projects, measures, and activities to be implemented to contribute to mitigation co-benefits, including information on adaptation plans that also yield mitigation co-benefit.</w:t>
            </w:r>
          </w:p>
        </w:tc>
        <w:tc>
          <w:tcPr>
            <w:tcW w:w="3002" w:type="dxa"/>
          </w:tcPr>
          <w:p w14:paraId="78EAED49" w14:textId="77777777" w:rsidR="009A6BAB" w:rsidRPr="003F3C2F" w:rsidRDefault="009A6BAB" w:rsidP="00351FCE">
            <w:pPr>
              <w:spacing w:before="240" w:after="240" w:line="276" w:lineRule="auto"/>
            </w:pPr>
          </w:p>
        </w:tc>
      </w:tr>
      <w:tr w:rsidR="009A6BAB" w:rsidRPr="003F3C2F" w14:paraId="0307FC71" w14:textId="77777777" w:rsidTr="00351FCE">
        <w:tc>
          <w:tcPr>
            <w:tcW w:w="9072" w:type="dxa"/>
            <w:gridSpan w:val="4"/>
            <w:shd w:val="clear" w:color="auto" w:fill="95B3D7" w:themeFill="accent1" w:themeFillTint="99"/>
          </w:tcPr>
          <w:p w14:paraId="34DC5079" w14:textId="77777777" w:rsidR="009A6BAB" w:rsidRPr="003F3C2F" w:rsidRDefault="009A6BAB" w:rsidP="00351FCE">
            <w:pPr>
              <w:spacing w:before="240" w:after="240" w:line="276" w:lineRule="auto"/>
              <w:jc w:val="both"/>
              <w:rPr>
                <w:color w:val="FFFFFF" w:themeColor="background1"/>
              </w:rPr>
            </w:pPr>
            <w:r w:rsidRPr="003F3C2F">
              <w:rPr>
                <w:b/>
                <w:bCs/>
                <w:color w:val="FFFFFF" w:themeColor="background1"/>
              </w:rPr>
              <w:t>5. Assumptions and methodological approaches, including those for estimating and accounting for anthropogenic greenhouse gas emissions and, as appropriate, removals</w:t>
            </w:r>
          </w:p>
        </w:tc>
      </w:tr>
      <w:tr w:rsidR="009A6BAB" w:rsidRPr="003F3C2F" w14:paraId="5394B405" w14:textId="77777777" w:rsidTr="00351FCE">
        <w:tc>
          <w:tcPr>
            <w:tcW w:w="2694" w:type="dxa"/>
          </w:tcPr>
          <w:p w14:paraId="646C1D4B" w14:textId="77777777" w:rsidR="009A6BAB" w:rsidRPr="003F3C2F" w:rsidRDefault="009A6BAB" w:rsidP="00351FCE">
            <w:pPr>
              <w:spacing w:before="240" w:after="240" w:line="276" w:lineRule="auto"/>
            </w:pPr>
            <w:r w:rsidRPr="003F3C2F">
              <w:t>(a) Assumptions and methodological approaches used for accounting for anthropogenic greenhouse gas emissions and removals corresponding to the Party’s nationally determined contribution, consistent with decision 1/CP.21, paragraph 31, and accounting guidance adopted by the CMA.</w:t>
            </w:r>
          </w:p>
        </w:tc>
        <w:tc>
          <w:tcPr>
            <w:tcW w:w="6378" w:type="dxa"/>
            <w:gridSpan w:val="3"/>
          </w:tcPr>
          <w:p w14:paraId="22ACA077" w14:textId="77777777" w:rsidR="009A6BAB" w:rsidRPr="003F3C2F" w:rsidRDefault="009A6BAB" w:rsidP="00351FCE">
            <w:pPr>
              <w:spacing w:before="240" w:after="240" w:line="276" w:lineRule="auto"/>
              <w:jc w:val="both"/>
            </w:pPr>
          </w:p>
        </w:tc>
      </w:tr>
      <w:tr w:rsidR="009A6BAB" w:rsidRPr="003F3C2F" w14:paraId="17143DC1" w14:textId="77777777" w:rsidTr="00351FCE">
        <w:tc>
          <w:tcPr>
            <w:tcW w:w="2694" w:type="dxa"/>
          </w:tcPr>
          <w:p w14:paraId="0ACB05E7" w14:textId="77777777" w:rsidR="009A6BAB" w:rsidRPr="003F3C2F" w:rsidRDefault="009A6BAB" w:rsidP="00351FCE">
            <w:pPr>
              <w:spacing w:before="240" w:after="240" w:line="276" w:lineRule="auto"/>
            </w:pPr>
            <w:r w:rsidRPr="003F3C2F">
              <w:lastRenderedPageBreak/>
              <w:t>(b) Assumptions and methodological approaches used for accounting for the implementation of policies and measures or strategies in the nationally determined contribution</w:t>
            </w:r>
          </w:p>
        </w:tc>
        <w:tc>
          <w:tcPr>
            <w:tcW w:w="6378" w:type="dxa"/>
            <w:gridSpan w:val="3"/>
          </w:tcPr>
          <w:p w14:paraId="29AE197B" w14:textId="77777777" w:rsidR="009A6BAB" w:rsidRPr="003F3C2F" w:rsidRDefault="009A6BAB" w:rsidP="00351FCE">
            <w:pPr>
              <w:spacing w:before="240" w:after="240" w:line="276" w:lineRule="auto"/>
              <w:jc w:val="both"/>
            </w:pPr>
          </w:p>
        </w:tc>
      </w:tr>
      <w:tr w:rsidR="009A6BAB" w:rsidRPr="003F3C2F" w14:paraId="19B0E952" w14:textId="77777777" w:rsidTr="00351FCE">
        <w:tc>
          <w:tcPr>
            <w:tcW w:w="2694" w:type="dxa"/>
          </w:tcPr>
          <w:p w14:paraId="7E91E62F" w14:textId="77777777" w:rsidR="009A6BAB" w:rsidRPr="003F3C2F" w:rsidRDefault="009A6BAB" w:rsidP="00351FCE">
            <w:pPr>
              <w:spacing w:before="240" w:after="240" w:line="276" w:lineRule="auto"/>
            </w:pPr>
            <w:r w:rsidRPr="003F3C2F">
              <w:t>(c) If applicable, information on how the Party will take into account existing methods and guidance under the Convention to account for anthropogenic emissions and removals, in accordance with Article 4, paragraph 14, of the Paris Agreement, as appropriate</w:t>
            </w:r>
          </w:p>
        </w:tc>
        <w:tc>
          <w:tcPr>
            <w:tcW w:w="6378" w:type="dxa"/>
            <w:gridSpan w:val="3"/>
          </w:tcPr>
          <w:p w14:paraId="3E388772" w14:textId="77777777" w:rsidR="009A6BAB" w:rsidRPr="003F3C2F" w:rsidRDefault="009A6BAB" w:rsidP="00351FCE">
            <w:pPr>
              <w:spacing w:before="240" w:after="240" w:line="276" w:lineRule="auto"/>
            </w:pPr>
          </w:p>
        </w:tc>
      </w:tr>
      <w:tr w:rsidR="009A6BAB" w:rsidRPr="003F3C2F" w14:paraId="0059190C" w14:textId="77777777" w:rsidTr="00351FCE">
        <w:tc>
          <w:tcPr>
            <w:tcW w:w="2694" w:type="dxa"/>
          </w:tcPr>
          <w:p w14:paraId="32F3BE84" w14:textId="77777777" w:rsidR="009A6BAB" w:rsidRPr="003F3C2F" w:rsidRDefault="009A6BAB" w:rsidP="00351FCE">
            <w:pPr>
              <w:spacing w:before="240" w:after="240" w:line="276" w:lineRule="auto"/>
            </w:pPr>
            <w:r w:rsidRPr="003F3C2F">
              <w:t>(d) IPCC methodologies and metrics used for estimating anthropogenic greenhouse gas emissions and removals</w:t>
            </w:r>
          </w:p>
        </w:tc>
        <w:tc>
          <w:tcPr>
            <w:tcW w:w="6378" w:type="dxa"/>
            <w:gridSpan w:val="3"/>
          </w:tcPr>
          <w:p w14:paraId="4BE08B9E" w14:textId="77777777" w:rsidR="009A6BAB" w:rsidRPr="003F3C2F" w:rsidRDefault="009A6BAB" w:rsidP="00351FCE">
            <w:pPr>
              <w:spacing w:before="240" w:after="240" w:line="276" w:lineRule="auto"/>
              <w:jc w:val="both"/>
            </w:pPr>
          </w:p>
        </w:tc>
      </w:tr>
      <w:tr w:rsidR="009A6BAB" w:rsidRPr="003F3C2F" w14:paraId="5A800249" w14:textId="77777777" w:rsidTr="00351FCE">
        <w:tc>
          <w:tcPr>
            <w:tcW w:w="2694" w:type="dxa"/>
            <w:vMerge w:val="restart"/>
          </w:tcPr>
          <w:p w14:paraId="7522A35E" w14:textId="77777777" w:rsidR="009A6BAB" w:rsidRPr="003F3C2F" w:rsidRDefault="009A6BAB" w:rsidP="00351FCE">
            <w:pPr>
              <w:spacing w:before="240" w:after="240" w:line="276" w:lineRule="auto"/>
              <w:rPr>
                <w:highlight w:val="yellow"/>
              </w:rPr>
            </w:pPr>
            <w:r w:rsidRPr="003F3C2F">
              <w:t>(e) Sector-, category- or activity-specific assumptions, methodologies and approaches consistent with IPCC guidance, as appropriate, including, as applicable</w:t>
            </w:r>
          </w:p>
        </w:tc>
        <w:tc>
          <w:tcPr>
            <w:tcW w:w="3376" w:type="dxa"/>
            <w:gridSpan w:val="2"/>
          </w:tcPr>
          <w:p w14:paraId="4CE24E53" w14:textId="77777777" w:rsidR="009A6BAB" w:rsidRPr="003F3C2F" w:rsidRDefault="009A6BAB" w:rsidP="00351FCE">
            <w:pPr>
              <w:spacing w:before="240" w:after="240" w:line="276" w:lineRule="auto"/>
              <w:jc w:val="both"/>
            </w:pPr>
            <w:r w:rsidRPr="003F3C2F">
              <w:t>(i) Approach to addressing emissions and subsequent removals from natural disturbances on managed lands</w:t>
            </w:r>
          </w:p>
        </w:tc>
        <w:tc>
          <w:tcPr>
            <w:tcW w:w="3002" w:type="dxa"/>
          </w:tcPr>
          <w:p w14:paraId="20E3B413" w14:textId="77777777" w:rsidR="009A6BAB" w:rsidRPr="003F3C2F" w:rsidRDefault="009A6BAB" w:rsidP="00351FCE">
            <w:pPr>
              <w:spacing w:before="240" w:after="240" w:line="276" w:lineRule="auto"/>
              <w:jc w:val="both"/>
            </w:pPr>
          </w:p>
        </w:tc>
      </w:tr>
      <w:tr w:rsidR="009A6BAB" w:rsidRPr="003F3C2F" w14:paraId="0147A615" w14:textId="77777777" w:rsidTr="00351FCE">
        <w:tc>
          <w:tcPr>
            <w:tcW w:w="2694" w:type="dxa"/>
            <w:vMerge/>
          </w:tcPr>
          <w:p w14:paraId="7BE48BFF" w14:textId="77777777" w:rsidR="009A6BAB" w:rsidRPr="003F3C2F" w:rsidRDefault="009A6BAB" w:rsidP="00351FCE">
            <w:pPr>
              <w:spacing w:before="240" w:after="240" w:line="276" w:lineRule="auto"/>
            </w:pPr>
          </w:p>
        </w:tc>
        <w:tc>
          <w:tcPr>
            <w:tcW w:w="3376" w:type="dxa"/>
            <w:gridSpan w:val="2"/>
          </w:tcPr>
          <w:p w14:paraId="09DBC1E8" w14:textId="77777777" w:rsidR="009A6BAB" w:rsidRPr="003F3C2F" w:rsidRDefault="009A6BAB" w:rsidP="00351FCE">
            <w:pPr>
              <w:spacing w:before="240" w:after="240" w:line="276" w:lineRule="auto"/>
              <w:jc w:val="both"/>
            </w:pPr>
            <w:r w:rsidRPr="003F3C2F">
              <w:t>(ii) Approach used to account for emissions and removals from harvested wood products</w:t>
            </w:r>
          </w:p>
        </w:tc>
        <w:tc>
          <w:tcPr>
            <w:tcW w:w="3002" w:type="dxa"/>
          </w:tcPr>
          <w:p w14:paraId="4EAA95F5" w14:textId="77777777" w:rsidR="009A6BAB" w:rsidRPr="003F3C2F" w:rsidRDefault="009A6BAB" w:rsidP="00351FCE">
            <w:pPr>
              <w:spacing w:before="240" w:after="240" w:line="276" w:lineRule="auto"/>
              <w:jc w:val="both"/>
            </w:pPr>
          </w:p>
        </w:tc>
      </w:tr>
      <w:tr w:rsidR="009A6BAB" w:rsidRPr="003F3C2F" w14:paraId="5C7F8F42" w14:textId="77777777" w:rsidTr="00351FCE">
        <w:tc>
          <w:tcPr>
            <w:tcW w:w="2694" w:type="dxa"/>
            <w:vMerge/>
          </w:tcPr>
          <w:p w14:paraId="34BB3172" w14:textId="77777777" w:rsidR="009A6BAB" w:rsidRPr="003F3C2F" w:rsidRDefault="009A6BAB" w:rsidP="00351FCE">
            <w:pPr>
              <w:spacing w:before="240" w:after="240" w:line="276" w:lineRule="auto"/>
            </w:pPr>
          </w:p>
        </w:tc>
        <w:tc>
          <w:tcPr>
            <w:tcW w:w="3376" w:type="dxa"/>
            <w:gridSpan w:val="2"/>
          </w:tcPr>
          <w:p w14:paraId="0C64B6A3" w14:textId="77777777" w:rsidR="009A6BAB" w:rsidRPr="003F3C2F" w:rsidRDefault="009A6BAB" w:rsidP="00351FCE">
            <w:pPr>
              <w:spacing w:before="240" w:after="240" w:line="276" w:lineRule="auto"/>
              <w:jc w:val="both"/>
            </w:pPr>
            <w:r w:rsidRPr="003F3C2F">
              <w:t>(iii) Approach used to address the effects of age-class structure in forests;</w:t>
            </w:r>
          </w:p>
        </w:tc>
        <w:tc>
          <w:tcPr>
            <w:tcW w:w="3002" w:type="dxa"/>
          </w:tcPr>
          <w:p w14:paraId="0EBF507D" w14:textId="77777777" w:rsidR="009A6BAB" w:rsidRPr="003F3C2F" w:rsidRDefault="009A6BAB" w:rsidP="00351FCE">
            <w:pPr>
              <w:spacing w:before="240" w:after="240" w:line="276" w:lineRule="auto"/>
              <w:jc w:val="both"/>
            </w:pPr>
          </w:p>
        </w:tc>
      </w:tr>
      <w:tr w:rsidR="009A6BAB" w:rsidRPr="003F3C2F" w14:paraId="50132540" w14:textId="77777777" w:rsidTr="00351FCE">
        <w:tc>
          <w:tcPr>
            <w:tcW w:w="9072" w:type="dxa"/>
            <w:gridSpan w:val="4"/>
          </w:tcPr>
          <w:p w14:paraId="24A7AFE2" w14:textId="77777777" w:rsidR="009A6BAB" w:rsidRPr="003F3C2F" w:rsidRDefault="009A6BAB" w:rsidP="00351FCE">
            <w:pPr>
              <w:spacing w:before="240" w:after="240" w:line="276" w:lineRule="auto"/>
              <w:jc w:val="both"/>
            </w:pPr>
            <w:r w:rsidRPr="003F3C2F">
              <w:t>(f) Other assumptions and methodological approaches used for understanding the nationally determined contribution and, if applicable, estimating corresponding emissions and removals, including:</w:t>
            </w:r>
          </w:p>
        </w:tc>
      </w:tr>
      <w:tr w:rsidR="009A6BAB" w:rsidRPr="003F3C2F" w14:paraId="0ECB6452" w14:textId="77777777" w:rsidTr="00351FCE">
        <w:tc>
          <w:tcPr>
            <w:tcW w:w="2694" w:type="dxa"/>
          </w:tcPr>
          <w:p w14:paraId="0988F247" w14:textId="77777777" w:rsidR="009A6BAB" w:rsidRPr="003F3C2F" w:rsidRDefault="009A6BAB" w:rsidP="00351FCE">
            <w:pPr>
              <w:spacing w:before="240" w:after="240" w:line="276" w:lineRule="auto"/>
              <w:rPr>
                <w:highlight w:val="yellow"/>
              </w:rPr>
            </w:pPr>
            <w:r w:rsidRPr="003F3C2F">
              <w:t xml:space="preserve">(i) How the reference indicators, baseline(s) and/or reference level(s), including, where applicable, sector-, </w:t>
            </w:r>
            <w:r w:rsidRPr="003F3C2F">
              <w:lastRenderedPageBreak/>
              <w:t>category- or activity-specific reference levels, are constructed, including, for example, key parameters, assumptions, definitions, methodologies, data sources and models used;</w:t>
            </w:r>
          </w:p>
        </w:tc>
        <w:tc>
          <w:tcPr>
            <w:tcW w:w="6378" w:type="dxa"/>
            <w:gridSpan w:val="3"/>
          </w:tcPr>
          <w:p w14:paraId="65C34217" w14:textId="77777777" w:rsidR="009A6BAB" w:rsidRPr="003F3C2F" w:rsidRDefault="009A6BAB" w:rsidP="00351FCE">
            <w:pPr>
              <w:spacing w:before="240" w:after="240" w:line="276" w:lineRule="auto"/>
              <w:jc w:val="both"/>
            </w:pPr>
          </w:p>
        </w:tc>
      </w:tr>
      <w:tr w:rsidR="009A6BAB" w:rsidRPr="003F3C2F" w14:paraId="50089C17" w14:textId="77777777" w:rsidTr="00351FCE">
        <w:tc>
          <w:tcPr>
            <w:tcW w:w="2694" w:type="dxa"/>
          </w:tcPr>
          <w:p w14:paraId="2BD449D9" w14:textId="77777777" w:rsidR="009A6BAB" w:rsidRPr="003F3C2F" w:rsidRDefault="009A6BAB" w:rsidP="00351FCE">
            <w:pPr>
              <w:spacing w:before="240" w:after="240" w:line="276" w:lineRule="auto"/>
            </w:pPr>
            <w:r w:rsidRPr="003F3C2F">
              <w:lastRenderedPageBreak/>
              <w:t>(ii) For Parties with nationally determined contributions that contain non-greenhouse-gas components, information on assumptions and methodological approaches used in relation to those components, as applicable;</w:t>
            </w:r>
          </w:p>
        </w:tc>
        <w:tc>
          <w:tcPr>
            <w:tcW w:w="6378" w:type="dxa"/>
            <w:gridSpan w:val="3"/>
          </w:tcPr>
          <w:p w14:paraId="0A21DC2F" w14:textId="77777777" w:rsidR="009A6BAB" w:rsidRPr="003F3C2F" w:rsidRDefault="009A6BAB" w:rsidP="00351FCE">
            <w:pPr>
              <w:spacing w:before="240" w:after="240" w:line="276" w:lineRule="auto"/>
              <w:jc w:val="both"/>
            </w:pPr>
          </w:p>
        </w:tc>
      </w:tr>
      <w:tr w:rsidR="009A6BAB" w:rsidRPr="003F3C2F" w14:paraId="5D454138" w14:textId="77777777" w:rsidTr="00351FCE">
        <w:tc>
          <w:tcPr>
            <w:tcW w:w="2694" w:type="dxa"/>
          </w:tcPr>
          <w:p w14:paraId="7558EDDA" w14:textId="77777777" w:rsidR="009A6BAB" w:rsidRPr="003F3C2F" w:rsidRDefault="009A6BAB" w:rsidP="00351FCE">
            <w:pPr>
              <w:spacing w:before="240" w:after="240" w:line="276" w:lineRule="auto"/>
            </w:pPr>
            <w:r w:rsidRPr="003F3C2F">
              <w:t>(iii) For climate forcers included in nationally determined contributions not covered by IPCC guidelines, information on how the climate forcers are estimated</w:t>
            </w:r>
          </w:p>
        </w:tc>
        <w:tc>
          <w:tcPr>
            <w:tcW w:w="6378" w:type="dxa"/>
            <w:gridSpan w:val="3"/>
          </w:tcPr>
          <w:p w14:paraId="6FA9B9AE" w14:textId="77777777" w:rsidR="009A6BAB" w:rsidRPr="003F3C2F" w:rsidRDefault="009A6BAB" w:rsidP="00351FCE">
            <w:pPr>
              <w:spacing w:before="240" w:after="240" w:line="276" w:lineRule="auto"/>
            </w:pPr>
          </w:p>
        </w:tc>
      </w:tr>
      <w:tr w:rsidR="009A6BAB" w:rsidRPr="003F3C2F" w14:paraId="2220CC19" w14:textId="77777777" w:rsidTr="00351FCE">
        <w:tc>
          <w:tcPr>
            <w:tcW w:w="2694" w:type="dxa"/>
          </w:tcPr>
          <w:p w14:paraId="44E3E8AB" w14:textId="77777777" w:rsidR="009A6BAB" w:rsidRPr="003F3C2F" w:rsidRDefault="009A6BAB" w:rsidP="00351FCE">
            <w:pPr>
              <w:spacing w:before="240" w:after="240" w:line="276" w:lineRule="auto"/>
            </w:pPr>
            <w:r w:rsidRPr="003F3C2F">
              <w:t>(iv) Further technical information, as necessary;</w:t>
            </w:r>
          </w:p>
        </w:tc>
        <w:tc>
          <w:tcPr>
            <w:tcW w:w="6378" w:type="dxa"/>
            <w:gridSpan w:val="3"/>
          </w:tcPr>
          <w:p w14:paraId="7661D477" w14:textId="77777777" w:rsidR="009A6BAB" w:rsidRPr="003F3C2F" w:rsidRDefault="009A6BAB" w:rsidP="00351FCE">
            <w:pPr>
              <w:spacing w:before="240" w:after="240" w:line="276" w:lineRule="auto"/>
            </w:pPr>
          </w:p>
        </w:tc>
      </w:tr>
      <w:tr w:rsidR="009A6BAB" w:rsidRPr="003F3C2F" w14:paraId="3863D891" w14:textId="77777777" w:rsidTr="00351FCE">
        <w:tc>
          <w:tcPr>
            <w:tcW w:w="2694" w:type="dxa"/>
          </w:tcPr>
          <w:p w14:paraId="5F42A017" w14:textId="77777777" w:rsidR="009A6BAB" w:rsidRPr="003F3C2F" w:rsidRDefault="009A6BAB" w:rsidP="00351FCE">
            <w:pPr>
              <w:spacing w:before="240" w:after="240" w:line="276" w:lineRule="auto"/>
            </w:pPr>
            <w:r w:rsidRPr="003F3C2F">
              <w:t>(g) The intention to use voluntary cooperation under Article 6 of the Paris Agreement, if applicable</w:t>
            </w:r>
          </w:p>
        </w:tc>
        <w:tc>
          <w:tcPr>
            <w:tcW w:w="6378" w:type="dxa"/>
            <w:gridSpan w:val="3"/>
          </w:tcPr>
          <w:p w14:paraId="1A04775D" w14:textId="77777777" w:rsidR="009A6BAB" w:rsidRPr="003F3C2F" w:rsidRDefault="009A6BAB" w:rsidP="00351FCE">
            <w:pPr>
              <w:spacing w:before="240" w:after="240" w:line="276" w:lineRule="auto"/>
              <w:jc w:val="both"/>
            </w:pPr>
          </w:p>
        </w:tc>
      </w:tr>
      <w:tr w:rsidR="009A6BAB" w:rsidRPr="003F3C2F" w14:paraId="3D6B16CA" w14:textId="77777777" w:rsidTr="00351FCE">
        <w:tc>
          <w:tcPr>
            <w:tcW w:w="9072" w:type="dxa"/>
            <w:gridSpan w:val="4"/>
            <w:shd w:val="clear" w:color="auto" w:fill="95B3D7" w:themeFill="accent1" w:themeFillTint="99"/>
          </w:tcPr>
          <w:p w14:paraId="69780BD7" w14:textId="77777777" w:rsidR="009A6BAB" w:rsidRPr="003F3C2F" w:rsidRDefault="009A6BAB" w:rsidP="00351FCE">
            <w:pPr>
              <w:spacing w:before="240" w:after="240" w:line="276" w:lineRule="auto"/>
              <w:rPr>
                <w:b/>
                <w:bCs/>
              </w:rPr>
            </w:pPr>
            <w:r w:rsidRPr="003F3C2F">
              <w:rPr>
                <w:b/>
                <w:bCs/>
                <w:color w:val="FFFFFF" w:themeColor="background1"/>
              </w:rPr>
              <w:t xml:space="preserve">6. How the Party considers that its nationally determined contribution is fair and ambitious in the light of its national circumstances </w:t>
            </w:r>
          </w:p>
        </w:tc>
      </w:tr>
      <w:tr w:rsidR="009A6BAB" w:rsidRPr="003F3C2F" w14:paraId="7F381024" w14:textId="77777777" w:rsidTr="00351FCE">
        <w:tc>
          <w:tcPr>
            <w:tcW w:w="2694" w:type="dxa"/>
          </w:tcPr>
          <w:p w14:paraId="50561B7F" w14:textId="77777777" w:rsidR="009A6BAB" w:rsidRPr="003F3C2F" w:rsidRDefault="009A6BAB" w:rsidP="00351FCE">
            <w:pPr>
              <w:spacing w:before="240" w:after="240" w:line="276" w:lineRule="auto"/>
            </w:pPr>
            <w:r w:rsidRPr="003F3C2F">
              <w:t>(a) How the Party considers that its nationally determined contribution is fair and ambitious in the light of its national circumstances</w:t>
            </w:r>
          </w:p>
        </w:tc>
        <w:tc>
          <w:tcPr>
            <w:tcW w:w="6378" w:type="dxa"/>
            <w:gridSpan w:val="3"/>
            <w:vMerge w:val="restart"/>
          </w:tcPr>
          <w:p w14:paraId="1269C85B" w14:textId="77777777" w:rsidR="009A6BAB" w:rsidRPr="003F3C2F" w:rsidRDefault="009A6BAB" w:rsidP="00351FCE">
            <w:pPr>
              <w:spacing w:before="240" w:after="240" w:line="276" w:lineRule="auto"/>
              <w:jc w:val="both"/>
            </w:pPr>
            <w:r w:rsidRPr="003F3C2F">
              <w:rPr>
                <w:rFonts w:eastAsia="Georgia"/>
                <w:highlight w:val="yellow"/>
              </w:rPr>
              <w:t>Refer to section 3.4 Fairness and Ambition of Liberia’s Contributions</w:t>
            </w:r>
          </w:p>
        </w:tc>
      </w:tr>
      <w:tr w:rsidR="009A6BAB" w:rsidRPr="003F3C2F" w14:paraId="4F1BBBCC" w14:textId="77777777" w:rsidTr="00351FCE">
        <w:tc>
          <w:tcPr>
            <w:tcW w:w="2694" w:type="dxa"/>
          </w:tcPr>
          <w:p w14:paraId="24D0210D" w14:textId="77777777" w:rsidR="009A6BAB" w:rsidRPr="003F3C2F" w:rsidRDefault="009A6BAB" w:rsidP="00351FCE">
            <w:pPr>
              <w:spacing w:before="240" w:after="240" w:line="276" w:lineRule="auto"/>
            </w:pPr>
            <w:r w:rsidRPr="003F3C2F">
              <w:lastRenderedPageBreak/>
              <w:t>(b) Fairness considerations, including reflecting on equity;</w:t>
            </w:r>
          </w:p>
        </w:tc>
        <w:tc>
          <w:tcPr>
            <w:tcW w:w="6378" w:type="dxa"/>
            <w:gridSpan w:val="3"/>
            <w:vMerge/>
          </w:tcPr>
          <w:p w14:paraId="5F90BFD2" w14:textId="77777777" w:rsidR="009A6BAB" w:rsidRPr="003F3C2F" w:rsidRDefault="009A6BAB" w:rsidP="00351FCE">
            <w:pPr>
              <w:spacing w:before="240" w:after="240" w:line="276" w:lineRule="auto"/>
            </w:pPr>
          </w:p>
        </w:tc>
      </w:tr>
      <w:tr w:rsidR="009A6BAB" w:rsidRPr="003F3C2F" w14:paraId="02F46F4C" w14:textId="77777777" w:rsidTr="00351FCE">
        <w:trPr>
          <w:trHeight w:val="1286"/>
        </w:trPr>
        <w:tc>
          <w:tcPr>
            <w:tcW w:w="2694" w:type="dxa"/>
          </w:tcPr>
          <w:p w14:paraId="76005926" w14:textId="77777777" w:rsidR="009A6BAB" w:rsidRPr="003F3C2F" w:rsidRDefault="009A6BAB" w:rsidP="00351FCE">
            <w:pPr>
              <w:spacing w:before="240" w:after="240" w:line="276" w:lineRule="auto"/>
            </w:pPr>
            <w:r w:rsidRPr="003F3C2F">
              <w:lastRenderedPageBreak/>
              <w:t>(c) How the Party has addressed Article 4, paragraph 3, of the Paris Agreement;</w:t>
            </w:r>
          </w:p>
        </w:tc>
        <w:tc>
          <w:tcPr>
            <w:tcW w:w="6378" w:type="dxa"/>
            <w:gridSpan w:val="3"/>
            <w:vMerge/>
          </w:tcPr>
          <w:p w14:paraId="0668F10F" w14:textId="77777777" w:rsidR="009A6BAB" w:rsidRPr="003F3C2F" w:rsidRDefault="009A6BAB" w:rsidP="00351FCE">
            <w:pPr>
              <w:spacing w:before="240" w:after="240" w:line="276" w:lineRule="auto"/>
            </w:pPr>
          </w:p>
        </w:tc>
      </w:tr>
      <w:tr w:rsidR="009A6BAB" w:rsidRPr="003F3C2F" w14:paraId="190E6D38" w14:textId="77777777" w:rsidTr="00351FCE">
        <w:tc>
          <w:tcPr>
            <w:tcW w:w="2694" w:type="dxa"/>
          </w:tcPr>
          <w:p w14:paraId="765E557A" w14:textId="77777777" w:rsidR="009A6BAB" w:rsidRPr="003F3C2F" w:rsidRDefault="009A6BAB" w:rsidP="00351FCE">
            <w:pPr>
              <w:spacing w:before="240" w:after="240" w:line="276" w:lineRule="auto"/>
            </w:pPr>
            <w:r w:rsidRPr="003F3C2F">
              <w:t>(d) How the Party has addressed Article 4, paragraph 4, of the Paris Agreement;</w:t>
            </w:r>
          </w:p>
        </w:tc>
        <w:tc>
          <w:tcPr>
            <w:tcW w:w="6378" w:type="dxa"/>
            <w:gridSpan w:val="3"/>
          </w:tcPr>
          <w:p w14:paraId="1C02233C" w14:textId="77777777" w:rsidR="009A6BAB" w:rsidRPr="003F3C2F" w:rsidRDefault="009A6BAB" w:rsidP="00351FCE">
            <w:pPr>
              <w:spacing w:before="240" w:after="240" w:line="276" w:lineRule="auto"/>
              <w:jc w:val="both"/>
              <w:rPr>
                <w:bCs/>
              </w:rPr>
            </w:pPr>
          </w:p>
        </w:tc>
      </w:tr>
      <w:tr w:rsidR="009A6BAB" w:rsidRPr="003F3C2F" w14:paraId="284AA25A" w14:textId="77777777" w:rsidTr="00351FCE">
        <w:tc>
          <w:tcPr>
            <w:tcW w:w="2694" w:type="dxa"/>
          </w:tcPr>
          <w:p w14:paraId="5980CE91" w14:textId="77777777" w:rsidR="009A6BAB" w:rsidRPr="003F3C2F" w:rsidRDefault="009A6BAB" w:rsidP="00351FCE">
            <w:pPr>
              <w:spacing w:before="240" w:after="240" w:line="276" w:lineRule="auto"/>
            </w:pPr>
            <w:r w:rsidRPr="003F3C2F">
              <w:t>e) How the Party has addressed Article 4, paragraph 6, of the Paris Agreement.</w:t>
            </w:r>
          </w:p>
        </w:tc>
        <w:tc>
          <w:tcPr>
            <w:tcW w:w="6378" w:type="dxa"/>
            <w:gridSpan w:val="3"/>
          </w:tcPr>
          <w:p w14:paraId="3D81669E" w14:textId="77777777" w:rsidR="009A6BAB" w:rsidRPr="003F3C2F" w:rsidRDefault="009A6BAB" w:rsidP="00351FCE">
            <w:pPr>
              <w:spacing w:before="240" w:after="240" w:line="276" w:lineRule="auto"/>
            </w:pPr>
          </w:p>
        </w:tc>
      </w:tr>
      <w:tr w:rsidR="009A6BAB" w:rsidRPr="003F3C2F" w14:paraId="743725A2" w14:textId="77777777" w:rsidTr="00351FCE">
        <w:tc>
          <w:tcPr>
            <w:tcW w:w="9072" w:type="dxa"/>
            <w:gridSpan w:val="4"/>
            <w:shd w:val="clear" w:color="auto" w:fill="95B3D7" w:themeFill="accent1" w:themeFillTint="99"/>
          </w:tcPr>
          <w:p w14:paraId="52432033" w14:textId="77777777" w:rsidR="009A6BAB" w:rsidRPr="003F3C2F" w:rsidRDefault="009A6BAB" w:rsidP="00351FCE">
            <w:pPr>
              <w:spacing w:before="240" w:after="240" w:line="276" w:lineRule="auto"/>
              <w:rPr>
                <w:b/>
                <w:bCs/>
                <w:color w:val="FFFFFF" w:themeColor="background1"/>
              </w:rPr>
            </w:pPr>
            <w:r w:rsidRPr="003F3C2F">
              <w:rPr>
                <w:b/>
                <w:bCs/>
                <w:color w:val="FFFFFF" w:themeColor="background1"/>
              </w:rPr>
              <w:t>7. How the nationally determined contribution contributes towards achieving the objective of the Convention as set out in its Article 2</w:t>
            </w:r>
          </w:p>
        </w:tc>
      </w:tr>
      <w:tr w:rsidR="009A6BAB" w:rsidRPr="003F3C2F" w14:paraId="5A6186FA" w14:textId="77777777" w:rsidTr="00351FCE">
        <w:tc>
          <w:tcPr>
            <w:tcW w:w="2694" w:type="dxa"/>
          </w:tcPr>
          <w:p w14:paraId="02ABA148" w14:textId="77777777" w:rsidR="009A6BAB" w:rsidRPr="003F3C2F" w:rsidRDefault="009A6BAB" w:rsidP="00351FCE">
            <w:pPr>
              <w:spacing w:before="240" w:after="240" w:line="276" w:lineRule="auto"/>
            </w:pPr>
            <w:r w:rsidRPr="003F3C2F">
              <w:t>(a) How the nationally determined contribution contributes towards achieving the objective of the Convention as set out in its Article 2;</w:t>
            </w:r>
          </w:p>
        </w:tc>
        <w:tc>
          <w:tcPr>
            <w:tcW w:w="6378" w:type="dxa"/>
            <w:gridSpan w:val="3"/>
            <w:vMerge w:val="restart"/>
          </w:tcPr>
          <w:p w14:paraId="0D56EA27" w14:textId="77777777" w:rsidR="009A6BAB" w:rsidRPr="003F3C2F" w:rsidRDefault="009A6BAB" w:rsidP="00351FCE">
            <w:pPr>
              <w:spacing w:before="240" w:after="240" w:line="276" w:lineRule="auto"/>
              <w:jc w:val="both"/>
            </w:pPr>
          </w:p>
        </w:tc>
      </w:tr>
      <w:tr w:rsidR="009A6BAB" w:rsidRPr="003F3C2F" w14:paraId="56DC2105" w14:textId="77777777" w:rsidTr="00351FCE">
        <w:tc>
          <w:tcPr>
            <w:tcW w:w="2694" w:type="dxa"/>
          </w:tcPr>
          <w:p w14:paraId="6A84071D" w14:textId="77777777" w:rsidR="009A6BAB" w:rsidRPr="003F3C2F" w:rsidRDefault="009A6BAB" w:rsidP="00351FCE">
            <w:pPr>
              <w:spacing w:before="240" w:after="240" w:line="276" w:lineRule="auto"/>
            </w:pPr>
            <w:r w:rsidRPr="003F3C2F">
              <w:t>(b) How the nationally determined contribution contributes towards Article 2, paragraph 2(a), and Article 4, paragraph 1, of the Paris Agreement.</w:t>
            </w:r>
          </w:p>
        </w:tc>
        <w:tc>
          <w:tcPr>
            <w:tcW w:w="6378" w:type="dxa"/>
            <w:gridSpan w:val="3"/>
            <w:vMerge/>
          </w:tcPr>
          <w:p w14:paraId="6611E070" w14:textId="77777777" w:rsidR="009A6BAB" w:rsidRPr="003F3C2F" w:rsidRDefault="009A6BAB" w:rsidP="00351FCE">
            <w:pPr>
              <w:spacing w:before="240" w:after="240" w:line="276" w:lineRule="auto"/>
            </w:pPr>
          </w:p>
        </w:tc>
      </w:tr>
    </w:tbl>
    <w:p w14:paraId="2B3AD61B" w14:textId="78D24D3A" w:rsidR="007C7CDD" w:rsidRPr="003F3C2F" w:rsidRDefault="007C7CDD" w:rsidP="009A6BAB">
      <w:pPr>
        <w:pStyle w:val="BodyText"/>
        <w:spacing w:before="240" w:after="240"/>
        <w:ind w:left="0"/>
        <w:rPr>
          <w:rFonts w:ascii="Times New Roman" w:hAnsi="Times New Roman"/>
          <w:bCs/>
        </w:rPr>
      </w:pPr>
    </w:p>
    <w:p w14:paraId="36E9A002" w14:textId="77777777" w:rsidR="007C7CDD" w:rsidRPr="003F3C2F" w:rsidRDefault="007C7CDD" w:rsidP="007C7CDD">
      <w:pPr>
        <w:pStyle w:val="BodyText"/>
        <w:rPr>
          <w:rFonts w:ascii="Times New Roman" w:hAnsi="Times New Roman"/>
        </w:rPr>
      </w:pPr>
      <w:r w:rsidRPr="003F3C2F">
        <w:rPr>
          <w:rFonts w:ascii="Times New Roman" w:hAnsi="Times New Roman"/>
        </w:rPr>
        <w:br w:type="page"/>
      </w:r>
    </w:p>
    <w:p w14:paraId="158A41E2" w14:textId="45038B9B" w:rsidR="00D03FCB" w:rsidRPr="003F3C2F" w:rsidRDefault="00D03FCB" w:rsidP="0038175C">
      <w:pPr>
        <w:pStyle w:val="Heading1"/>
        <w:numPr>
          <w:ilvl w:val="0"/>
          <w:numId w:val="0"/>
        </w:numPr>
        <w:spacing w:before="240" w:after="240" w:line="276" w:lineRule="auto"/>
        <w:rPr>
          <w:bCs/>
        </w:rPr>
      </w:pPr>
      <w:bookmarkStart w:id="61" w:name="_Toc205444903"/>
      <w:bookmarkEnd w:id="29"/>
      <w:r w:rsidRPr="003F3C2F">
        <w:rPr>
          <w:bCs/>
        </w:rPr>
        <w:lastRenderedPageBreak/>
        <w:t>References</w:t>
      </w:r>
      <w:bookmarkEnd w:id="61"/>
    </w:p>
    <w:p w14:paraId="663820E4"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EPA (2025). NDC 2.0 Stockatake report </w:t>
      </w:r>
    </w:p>
    <w:p w14:paraId="1252C38A"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EPA (2021). National Greenhouse Gas Inventory Report</w:t>
      </w:r>
    </w:p>
    <w:p w14:paraId="0C245084"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European Commission, Joint Research Centre (JRC)/PBL Netherlands Environmental Assessment Agency. (2023). EDGAR - Emissions Database for Global Atmospheric Research. </w:t>
      </w:r>
      <w:hyperlink r:id="rId20" w:history="1">
        <w:r w:rsidRPr="003F3C2F">
          <w:rPr>
            <w:rFonts w:ascii="Times New Roman" w:eastAsia="Calibri" w:hAnsi="Times New Roman" w:cs="Times New Roman"/>
            <w:color w:val="0563C1"/>
            <w:kern w:val="2"/>
            <w:sz w:val="24"/>
            <w:szCs w:val="24"/>
            <w:u w:val="single"/>
            <w14:ligatures w14:val="standardContextual"/>
          </w:rPr>
          <w:t>https://edgar.jrc.ec.europa.eu</w:t>
        </w:r>
      </w:hyperlink>
      <w:r w:rsidRPr="003F3C2F">
        <w:rPr>
          <w:rFonts w:ascii="Times New Roman" w:eastAsia="Calibri" w:hAnsi="Times New Roman" w:cs="Times New Roman"/>
          <w:kern w:val="2"/>
          <w:sz w:val="24"/>
          <w:szCs w:val="24"/>
          <w14:ligatures w14:val="standardContextual"/>
        </w:rPr>
        <w:t xml:space="preserve"> </w:t>
      </w:r>
    </w:p>
    <w:p w14:paraId="68318116"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Global Carbon Project. (2023). Global Carbon Budget 2023. Earth System Science Data. </w:t>
      </w:r>
      <w:hyperlink r:id="rId21" w:history="1">
        <w:r w:rsidRPr="003F3C2F">
          <w:rPr>
            <w:rFonts w:ascii="Times New Roman" w:eastAsia="Calibri" w:hAnsi="Times New Roman" w:cs="Times New Roman"/>
            <w:color w:val="0563C1"/>
            <w:kern w:val="2"/>
            <w:sz w:val="24"/>
            <w:szCs w:val="24"/>
            <w:u w:val="single"/>
            <w14:ligatures w14:val="standardContextual"/>
          </w:rPr>
          <w:t>https://www.globalcarbonproject.org</w:t>
        </w:r>
      </w:hyperlink>
      <w:r w:rsidRPr="003F3C2F">
        <w:rPr>
          <w:rFonts w:ascii="Times New Roman" w:eastAsia="Calibri" w:hAnsi="Times New Roman" w:cs="Times New Roman"/>
          <w:kern w:val="2"/>
          <w:sz w:val="24"/>
          <w:szCs w:val="24"/>
          <w14:ligatures w14:val="standardContextual"/>
        </w:rPr>
        <w:t xml:space="preserve">   </w:t>
      </w:r>
    </w:p>
    <w:p w14:paraId="4E321E7B"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World Bank. (2022). World Development Indicators: CO2 emissions (metric tons per capita).  </w:t>
      </w:r>
      <w:hyperlink r:id="rId22" w:history="1">
        <w:r w:rsidRPr="003F3C2F">
          <w:rPr>
            <w:rFonts w:ascii="Times New Roman" w:eastAsia="Calibri" w:hAnsi="Times New Roman" w:cs="Times New Roman"/>
            <w:color w:val="0563C1"/>
            <w:kern w:val="2"/>
            <w:sz w:val="24"/>
            <w:szCs w:val="24"/>
            <w:u w:val="single"/>
            <w14:ligatures w14:val="standardContextual"/>
          </w:rPr>
          <w:t>https://data.worldbank.org/indicator/EN.ATM.CO2E</w:t>
        </w:r>
      </w:hyperlink>
      <w:r w:rsidRPr="003F3C2F">
        <w:rPr>
          <w:rFonts w:ascii="Times New Roman" w:eastAsia="Calibri" w:hAnsi="Times New Roman" w:cs="Times New Roman"/>
          <w:kern w:val="2"/>
          <w:sz w:val="24"/>
          <w:szCs w:val="24"/>
          <w14:ligatures w14:val="standardContextual"/>
        </w:rPr>
        <w:t xml:space="preserve">.   </w:t>
      </w:r>
    </w:p>
    <w:p w14:paraId="73C82754"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World Resources Institute (WRI). (2023). CAIT Climate Data Explorer. </w:t>
      </w:r>
      <w:hyperlink r:id="rId23" w:history="1">
        <w:r w:rsidRPr="003F3C2F">
          <w:rPr>
            <w:rFonts w:ascii="Times New Roman" w:eastAsia="Calibri" w:hAnsi="Times New Roman" w:cs="Times New Roman"/>
            <w:color w:val="0563C1"/>
            <w:kern w:val="2"/>
            <w:sz w:val="24"/>
            <w:szCs w:val="24"/>
            <w:u w:val="single"/>
            <w14:ligatures w14:val="standardContextual"/>
          </w:rPr>
          <w:t>https://www.climatewatchdata.org</w:t>
        </w:r>
      </w:hyperlink>
      <w:r w:rsidRPr="003F3C2F">
        <w:rPr>
          <w:rFonts w:ascii="Times New Roman" w:eastAsia="Calibri" w:hAnsi="Times New Roman" w:cs="Times New Roman"/>
          <w:kern w:val="2"/>
          <w:sz w:val="24"/>
          <w:szCs w:val="24"/>
          <w14:ligatures w14:val="standardContextual"/>
        </w:rPr>
        <w:t xml:space="preserve"> </w:t>
      </w:r>
    </w:p>
    <w:p w14:paraId="6099A8C4" w14:textId="77777777" w:rsidR="00D03FCB" w:rsidRPr="003F3C2F" w:rsidRDefault="00D03FCB" w:rsidP="00781F44">
      <w:pPr>
        <w:pStyle w:val="ListParagraph"/>
        <w:numPr>
          <w:ilvl w:val="0"/>
          <w:numId w:val="17"/>
        </w:numPr>
        <w:spacing w:after="160" w:line="278" w:lineRule="auto"/>
        <w:jc w:val="both"/>
        <w:rPr>
          <w:rFonts w:ascii="Times New Roman" w:eastAsia="Calibri" w:hAnsi="Times New Roman" w:cs="Times New Roman"/>
          <w:kern w:val="2"/>
          <w:sz w:val="24"/>
          <w:szCs w:val="24"/>
          <w14:ligatures w14:val="standardContextual"/>
        </w:rPr>
      </w:pPr>
      <w:r w:rsidRPr="003F3C2F">
        <w:rPr>
          <w:rFonts w:ascii="Times New Roman" w:eastAsia="Calibri" w:hAnsi="Times New Roman" w:cs="Times New Roman"/>
          <w:kern w:val="2"/>
          <w:sz w:val="24"/>
          <w:szCs w:val="24"/>
          <w14:ligatures w14:val="standardContextual"/>
        </w:rPr>
        <w:t xml:space="preserve">UNFCCC (2021). Liberia’s Nationally Determined Contribution (NDC). </w:t>
      </w:r>
      <w:hyperlink r:id="rId24" w:history="1">
        <w:r w:rsidRPr="003F3C2F">
          <w:rPr>
            <w:rFonts w:ascii="Times New Roman" w:eastAsia="Calibri" w:hAnsi="Times New Roman" w:cs="Times New Roman"/>
            <w:color w:val="0563C1"/>
            <w:kern w:val="2"/>
            <w:sz w:val="24"/>
            <w:szCs w:val="24"/>
            <w:u w:val="single"/>
            <w14:ligatures w14:val="standardContextual"/>
          </w:rPr>
          <w:t>https://www4.unfccc.int/sites/ndcstaging/PublishedDocuments/Liberia%20First/Liberia%20NDC%202020.pdf</w:t>
        </w:r>
      </w:hyperlink>
      <w:r w:rsidRPr="003F3C2F">
        <w:rPr>
          <w:rFonts w:ascii="Times New Roman" w:eastAsia="Calibri" w:hAnsi="Times New Roman" w:cs="Times New Roman"/>
          <w:kern w:val="2"/>
          <w:sz w:val="24"/>
          <w:szCs w:val="24"/>
          <w14:ligatures w14:val="standardContextual"/>
        </w:rPr>
        <w:t xml:space="preserve">   </w:t>
      </w:r>
    </w:p>
    <w:p w14:paraId="346AF6C4" w14:textId="77777777" w:rsidR="00D03FCB" w:rsidRPr="003F3C2F" w:rsidRDefault="00D03FCB" w:rsidP="009A6BAB">
      <w:pPr>
        <w:pStyle w:val="BodyText"/>
        <w:spacing w:before="240" w:after="240"/>
        <w:ind w:left="0"/>
        <w:rPr>
          <w:rFonts w:ascii="Times New Roman" w:eastAsiaTheme="majorEastAsia" w:hAnsi="Times New Roman"/>
          <w:color w:val="365F91" w:themeColor="accent1" w:themeShade="BF"/>
          <w:sz w:val="40"/>
          <w:szCs w:val="40"/>
        </w:rPr>
      </w:pPr>
    </w:p>
    <w:p w14:paraId="6B0A1CEB" w14:textId="77777777" w:rsidR="003F3C2F" w:rsidRPr="003F3C2F" w:rsidRDefault="003F3C2F">
      <w:pPr>
        <w:pStyle w:val="BodyText"/>
        <w:spacing w:before="240" w:after="240"/>
        <w:ind w:left="0"/>
        <w:rPr>
          <w:rFonts w:ascii="Times New Roman" w:eastAsiaTheme="majorEastAsia" w:hAnsi="Times New Roman"/>
          <w:color w:val="365F91" w:themeColor="accent1" w:themeShade="BF"/>
          <w:sz w:val="40"/>
          <w:szCs w:val="40"/>
        </w:rPr>
      </w:pPr>
    </w:p>
    <w:sectPr w:rsidR="003F3C2F" w:rsidRPr="003F3C2F" w:rsidSect="00DC1DE2">
      <w:pgSz w:w="11906" w:h="16838" w:code="9"/>
      <w:pgMar w:top="1440" w:right="1440" w:bottom="1440" w:left="1440" w:header="706" w:footer="562" w:gutter="0"/>
      <w:cols w:space="708"/>
      <w:titlePg/>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Urias Goll, Esq." w:date="2025-08-11T21:32:00Z" w:initials="MOU">
    <w:p w14:paraId="70F8B745" w14:textId="0D52C599" w:rsidR="00550AE4" w:rsidRDefault="00550AE4">
      <w:pPr>
        <w:pStyle w:val="CommentText"/>
      </w:pPr>
      <w:r>
        <w:rPr>
          <w:rStyle w:val="CommentReference"/>
        </w:rPr>
        <w:annotationRef/>
      </w:r>
      <w:r>
        <w:t>To be modified following the completion of the GHG Model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F8B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243E" w16cex:dateUtc="2025-08-11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8B745" w16cid:durableId="2C23243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96E5" w14:textId="77777777" w:rsidR="00781F44" w:rsidRDefault="00781F44">
      <w:r>
        <w:separator/>
      </w:r>
    </w:p>
  </w:endnote>
  <w:endnote w:type="continuationSeparator" w:id="0">
    <w:p w14:paraId="3F18C3D1" w14:textId="77777777" w:rsidR="00781F44" w:rsidRDefault="0078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80310016"/>
      <w:docPartObj>
        <w:docPartGallery w:val="Page Numbers (Bottom of Page)"/>
        <w:docPartUnique/>
      </w:docPartObj>
    </w:sdtPr>
    <w:sdtEndPr>
      <w:rPr>
        <w:rStyle w:val="PageNumber"/>
      </w:rPr>
    </w:sdtEndPr>
    <w:sdtContent>
      <w:p w14:paraId="07D5E89C" w14:textId="18284C70" w:rsidR="00FE4745" w:rsidRDefault="00FE4745" w:rsidP="00F572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5167">
          <w:rPr>
            <w:rStyle w:val="PageNumber"/>
            <w:noProof/>
          </w:rPr>
          <w:t>31</w:t>
        </w:r>
        <w:r>
          <w:rPr>
            <w:rStyle w:val="PageNumber"/>
          </w:rPr>
          <w:fldChar w:fldCharType="end"/>
        </w:r>
      </w:p>
    </w:sdtContent>
  </w:sdt>
  <w:p w14:paraId="34495BED" w14:textId="77777777" w:rsidR="00FE4745" w:rsidRDefault="00FE4745" w:rsidP="00C817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3411989"/>
      <w:docPartObj>
        <w:docPartGallery w:val="Page Numbers (Bottom of Page)"/>
        <w:docPartUnique/>
      </w:docPartObj>
    </w:sdtPr>
    <w:sdtEndPr>
      <w:rPr>
        <w:rStyle w:val="PageNumber"/>
      </w:rPr>
    </w:sdtEndPr>
    <w:sdtContent>
      <w:p w14:paraId="3FFCB70A" w14:textId="049F17DA" w:rsidR="00FE4745" w:rsidRDefault="00FE4745" w:rsidP="00F572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7980">
          <w:rPr>
            <w:rStyle w:val="PageNumber"/>
            <w:noProof/>
          </w:rPr>
          <w:t>iv</w:t>
        </w:r>
        <w:r>
          <w:rPr>
            <w:rStyle w:val="PageNumber"/>
          </w:rPr>
          <w:fldChar w:fldCharType="end"/>
        </w:r>
      </w:p>
    </w:sdtContent>
  </w:sdt>
  <w:p w14:paraId="5D06C7E2" w14:textId="77777777" w:rsidR="00FE4745" w:rsidRDefault="00FE4745" w:rsidP="00C8176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36A5" w14:textId="77777777" w:rsidR="009D7457" w:rsidRDefault="009D7457" w:rsidP="00F01A23">
    <w:pPr>
      <w:pStyle w:val="Footer"/>
      <w:pBdr>
        <w:top w:val="single" w:sz="4" w:space="1" w:color="auto"/>
      </w:pBdr>
      <w:tabs>
        <w:tab w:val="clear" w:pos="8640"/>
        <w:tab w:val="right" w:pos="9498"/>
      </w:tabs>
    </w:pPr>
    <w:r>
      <w:rPr>
        <w:noProof/>
        <w:color w:val="008000"/>
        <w:sz w:val="10"/>
        <w:szCs w:val="10"/>
        <w:lang w:val="da-DK"/>
      </w:rPr>
      <w:tab/>
    </w:r>
  </w:p>
  <w:p w14:paraId="54F16063" w14:textId="534D3007" w:rsidR="009D7457" w:rsidRPr="00816B7C" w:rsidRDefault="009D7457" w:rsidP="00F01A23">
    <w:pPr>
      <w:spacing w:after="60"/>
      <w:rPr>
        <w:sz w:val="18"/>
        <w:szCs w:val="18"/>
      </w:rPr>
    </w:pPr>
    <w:r>
      <w:tab/>
    </w:r>
    <w:r>
      <w:tab/>
    </w:r>
    <w:r w:rsidRPr="00DB64A4">
      <w:tab/>
    </w:r>
    <w:r w:rsidRPr="00DB64A4">
      <w:tab/>
    </w:r>
    <w:r>
      <w:tab/>
    </w:r>
    <w:r>
      <w:tab/>
    </w:r>
    <w:r w:rsidRPr="00816B7C">
      <w:rPr>
        <w:rFonts w:ascii="Verdana" w:hAnsi="Verdana"/>
        <w:sz w:val="18"/>
        <w:szCs w:val="18"/>
      </w:rPr>
      <w:t xml:space="preserve">Page </w:t>
    </w:r>
    <w:r w:rsidRPr="00816B7C">
      <w:rPr>
        <w:rFonts w:ascii="Verdana" w:hAnsi="Verdana"/>
        <w:sz w:val="18"/>
        <w:szCs w:val="18"/>
      </w:rPr>
      <w:fldChar w:fldCharType="begin"/>
    </w:r>
    <w:r w:rsidRPr="00816B7C">
      <w:rPr>
        <w:rFonts w:ascii="Verdana" w:hAnsi="Verdana"/>
        <w:sz w:val="18"/>
        <w:szCs w:val="18"/>
      </w:rPr>
      <w:instrText>PAGE</w:instrText>
    </w:r>
    <w:r w:rsidRPr="00816B7C">
      <w:rPr>
        <w:rFonts w:ascii="Verdana" w:hAnsi="Verdana"/>
        <w:sz w:val="18"/>
        <w:szCs w:val="18"/>
      </w:rPr>
      <w:fldChar w:fldCharType="separate"/>
    </w:r>
    <w:r w:rsidR="009D7980">
      <w:rPr>
        <w:rFonts w:ascii="Verdana" w:hAnsi="Verdana"/>
        <w:noProof/>
        <w:sz w:val="18"/>
        <w:szCs w:val="18"/>
      </w:rPr>
      <w:t>20</w:t>
    </w:r>
    <w:r w:rsidRPr="00816B7C">
      <w:rPr>
        <w:rFonts w:ascii="Verdana" w:hAnsi="Verdana"/>
        <w:noProof/>
        <w:sz w:val="18"/>
        <w:szCs w:val="18"/>
      </w:rPr>
      <w:fldChar w:fldCharType="end"/>
    </w:r>
    <w:r w:rsidRPr="00816B7C">
      <w:rPr>
        <w:rFonts w:ascii="Verdana" w:hAnsi="Verdana"/>
        <w:sz w:val="18"/>
        <w:szCs w:val="18"/>
      </w:rPr>
      <w:t xml:space="preserve"> of </w:t>
    </w:r>
    <w:r w:rsidRPr="00816B7C">
      <w:rPr>
        <w:rFonts w:ascii="Verdana" w:hAnsi="Verdana"/>
        <w:sz w:val="18"/>
        <w:szCs w:val="18"/>
      </w:rPr>
      <w:fldChar w:fldCharType="begin"/>
    </w:r>
    <w:r w:rsidRPr="00816B7C">
      <w:rPr>
        <w:rFonts w:ascii="Verdana" w:hAnsi="Verdana"/>
        <w:sz w:val="18"/>
        <w:szCs w:val="18"/>
      </w:rPr>
      <w:instrText>NUMPAGES</w:instrText>
    </w:r>
    <w:r w:rsidRPr="00816B7C">
      <w:rPr>
        <w:rFonts w:ascii="Verdana" w:hAnsi="Verdana"/>
        <w:sz w:val="18"/>
        <w:szCs w:val="18"/>
      </w:rPr>
      <w:fldChar w:fldCharType="separate"/>
    </w:r>
    <w:r w:rsidR="009D7980">
      <w:rPr>
        <w:rFonts w:ascii="Verdana" w:hAnsi="Verdana"/>
        <w:noProof/>
        <w:sz w:val="18"/>
        <w:szCs w:val="18"/>
      </w:rPr>
      <w:t>45</w:t>
    </w:r>
    <w:r w:rsidRPr="00816B7C">
      <w:rPr>
        <w:rFonts w:ascii="Verdana" w:hAnsi="Verdana"/>
        <w:noProof/>
        <w:sz w:val="18"/>
        <w:szCs w:val="18"/>
      </w:rPr>
      <w:fldChar w:fldCharType="end"/>
    </w:r>
  </w:p>
  <w:p w14:paraId="4B0B86F6" w14:textId="77777777" w:rsidR="009D7457" w:rsidRPr="00D02E96" w:rsidRDefault="009D7457" w:rsidP="0090488D">
    <w:pPr>
      <w:pStyle w:val="Footer"/>
      <w:ind w:hanging="1134"/>
      <w:rPr>
        <w:lang w:val="en-US"/>
      </w:rPr>
    </w:pPr>
  </w:p>
  <w:p w14:paraId="144572C5" w14:textId="77777777" w:rsidR="009D7457" w:rsidRPr="00F01A23" w:rsidRDefault="009D7457" w:rsidP="00C62568">
    <w:pPr>
      <w:pStyle w:val="Footer"/>
      <w:rPr>
        <w:sz w:val="16"/>
        <w:szCs w:val="16"/>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4045" w14:textId="77777777" w:rsidR="009D7457" w:rsidRDefault="009D7457" w:rsidP="00DA6D4D">
    <w:pPr>
      <w:pStyle w:val="Footer"/>
      <w:ind w:hanging="1134"/>
    </w:pPr>
  </w:p>
  <w:p w14:paraId="1ABE748B" w14:textId="77777777" w:rsidR="009D7457" w:rsidRPr="00DA6D4D" w:rsidRDefault="009D7457" w:rsidP="00DA6D4D">
    <w:pPr>
      <w:pStyle w:val="Footer"/>
      <w:rPr>
        <w:color w:val="008000"/>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9C7E4" w14:textId="77777777" w:rsidR="00781F44" w:rsidRDefault="00781F44">
      <w:r>
        <w:separator/>
      </w:r>
    </w:p>
  </w:footnote>
  <w:footnote w:type="continuationSeparator" w:id="0">
    <w:p w14:paraId="5D6B504D" w14:textId="77777777" w:rsidR="00781F44" w:rsidRDefault="00781F44">
      <w:r>
        <w:continuationSeparator/>
      </w:r>
    </w:p>
  </w:footnote>
  <w:footnote w:id="1">
    <w:p w14:paraId="587E78B6" w14:textId="77777777" w:rsidR="00A63DD6" w:rsidRPr="00E31C9B" w:rsidRDefault="00A63DD6" w:rsidP="00E31C9B">
      <w:pPr>
        <w:pStyle w:val="FootnoteText"/>
        <w:spacing w:line="240" w:lineRule="auto"/>
        <w:rPr>
          <w:rFonts w:ascii="Times New Roman" w:hAnsi="Times New Roman"/>
          <w:color w:val="000000" w:themeColor="text1"/>
          <w:sz w:val="20"/>
        </w:rPr>
      </w:pPr>
      <w:r w:rsidRPr="00E31C9B">
        <w:rPr>
          <w:rStyle w:val="FootnoteReference"/>
          <w:rFonts w:ascii="Times New Roman" w:hAnsi="Times New Roman"/>
          <w:color w:val="000000" w:themeColor="text1"/>
          <w:sz w:val="20"/>
        </w:rPr>
        <w:footnoteRef/>
      </w:r>
      <w:r w:rsidRPr="00E31C9B">
        <w:rPr>
          <w:rFonts w:ascii="Times New Roman" w:hAnsi="Times New Roman"/>
          <w:color w:val="000000" w:themeColor="text1"/>
          <w:sz w:val="20"/>
        </w:rPr>
        <w:t xml:space="preserve"> UNFCCC. (2015). Paris Agreement. Retrieved from </w:t>
      </w:r>
      <w:hyperlink r:id="rId1" w:history="1">
        <w:r w:rsidRPr="00E31C9B">
          <w:rPr>
            <w:rStyle w:val="Hyperlink"/>
            <w:rFonts w:ascii="Times New Roman" w:hAnsi="Times New Roman"/>
            <w:color w:val="000000" w:themeColor="text1"/>
            <w:sz w:val="20"/>
          </w:rPr>
          <w:t>https://unfccc.int/files/meetings/paris_nov_2015/application/pdf/paris_agreement_english_.pdf</w:t>
        </w:r>
      </w:hyperlink>
      <w:r w:rsidRPr="00E31C9B">
        <w:rPr>
          <w:rFonts w:ascii="Times New Roman" w:hAnsi="Times New Roman"/>
          <w:color w:val="000000" w:themeColor="text1"/>
          <w:sz w:val="20"/>
        </w:rPr>
        <w:t xml:space="preserve"> </w:t>
      </w:r>
    </w:p>
  </w:footnote>
  <w:footnote w:id="2">
    <w:p w14:paraId="4DDA9597" w14:textId="0F811DB8" w:rsidR="004C7597" w:rsidRPr="00E31C9B" w:rsidRDefault="004C7597" w:rsidP="00E31C9B">
      <w:pPr>
        <w:pStyle w:val="FootnoteText"/>
        <w:spacing w:line="240" w:lineRule="auto"/>
        <w:rPr>
          <w:rFonts w:ascii="Times New Roman" w:hAnsi="Times New Roman"/>
          <w:color w:val="000000" w:themeColor="text1"/>
          <w:sz w:val="20"/>
          <w:lang w:val="en-US"/>
        </w:rPr>
      </w:pPr>
      <w:r w:rsidRPr="00E31C9B">
        <w:rPr>
          <w:rStyle w:val="FootnoteReference"/>
          <w:rFonts w:ascii="Times New Roman" w:hAnsi="Times New Roman"/>
          <w:color w:val="000000" w:themeColor="text1"/>
          <w:sz w:val="20"/>
        </w:rPr>
        <w:footnoteRef/>
      </w:r>
      <w:r w:rsidRPr="00E31C9B">
        <w:rPr>
          <w:rFonts w:ascii="Times New Roman" w:hAnsi="Times New Roman"/>
          <w:color w:val="000000" w:themeColor="text1"/>
          <w:sz w:val="20"/>
        </w:rPr>
        <w:t xml:space="preserve"> </w:t>
      </w:r>
      <w:r w:rsidRPr="00E31C9B">
        <w:rPr>
          <w:rFonts w:ascii="Times New Roman" w:hAnsi="Times New Roman"/>
          <w:color w:val="000000" w:themeColor="text1"/>
          <w:sz w:val="20"/>
          <w:lang w:val="en-US"/>
        </w:rPr>
        <w:t>Article 4.2, Paris Agreement</w:t>
      </w:r>
    </w:p>
  </w:footnote>
  <w:footnote w:id="3">
    <w:p w14:paraId="03B380F1" w14:textId="77777777" w:rsidR="00E31C9B" w:rsidRPr="002832BA" w:rsidRDefault="00E31C9B" w:rsidP="00E31C9B">
      <w:pPr>
        <w:pStyle w:val="FootnoteText"/>
        <w:spacing w:line="240" w:lineRule="auto"/>
      </w:pPr>
      <w:r w:rsidRPr="00E31C9B">
        <w:rPr>
          <w:rStyle w:val="FootnoteReference"/>
          <w:rFonts w:ascii="Times New Roman" w:hAnsi="Times New Roman"/>
          <w:color w:val="000000" w:themeColor="text1"/>
          <w:sz w:val="20"/>
        </w:rPr>
        <w:footnoteRef/>
      </w:r>
      <w:r w:rsidRPr="00E31C9B">
        <w:rPr>
          <w:rFonts w:ascii="Times New Roman" w:hAnsi="Times New Roman"/>
          <w:color w:val="000000" w:themeColor="text1"/>
          <w:sz w:val="20"/>
        </w:rPr>
        <w:t xml:space="preserve"> UNFCCC. (n. d.). Outcome of the first global stocktake. Retrieved from UNFCCC: </w:t>
      </w:r>
      <w:hyperlink r:id="rId2" w:history="1">
        <w:r w:rsidRPr="00E31C9B">
          <w:rPr>
            <w:rStyle w:val="Hyperlink"/>
            <w:rFonts w:ascii="Times New Roman" w:hAnsi="Times New Roman"/>
            <w:color w:val="000000" w:themeColor="text1"/>
            <w:sz w:val="20"/>
          </w:rPr>
          <w:t>https://unfccc.int/topics/global-stocktake/about-the-global-stocktake/outcome-of-the-first-global-stocktake</w:t>
        </w:r>
      </w:hyperlink>
      <w:r w:rsidRPr="00E31C9B">
        <w:rPr>
          <w:color w:val="000000" w:themeColor="text1"/>
        </w:rPr>
        <w:t xml:space="preserve"> </w:t>
      </w:r>
    </w:p>
  </w:footnote>
  <w:footnote w:id="4">
    <w:p w14:paraId="1E2F7364" w14:textId="1DD78A1A" w:rsidR="00E31C9B" w:rsidRPr="00E31C9B" w:rsidRDefault="00E31C9B" w:rsidP="00E31C9B">
      <w:pPr>
        <w:pStyle w:val="FootnoteText"/>
        <w:spacing w:line="240" w:lineRule="auto"/>
        <w:rPr>
          <w:lang w:val="en-US"/>
        </w:rPr>
      </w:pPr>
      <w:r w:rsidRPr="00E31C9B">
        <w:rPr>
          <w:rStyle w:val="FootnoteReference"/>
          <w:rFonts w:ascii="Times New Roman" w:hAnsi="Times New Roman"/>
          <w:color w:val="000000" w:themeColor="text1"/>
          <w:sz w:val="20"/>
        </w:rPr>
        <w:footnoteRef/>
      </w:r>
      <w:r w:rsidRPr="00E31C9B">
        <w:rPr>
          <w:rFonts w:ascii="Times New Roman" w:hAnsi="Times New Roman"/>
          <w:color w:val="000000" w:themeColor="text1"/>
          <w:sz w:val="20"/>
        </w:rPr>
        <w:t xml:space="preserve"> </w:t>
      </w:r>
      <w:r w:rsidRPr="00E31C9B">
        <w:rPr>
          <w:rFonts w:ascii="Times New Roman" w:hAnsi="Times New Roman"/>
          <w:color w:val="000000" w:themeColor="text1"/>
          <w:sz w:val="20"/>
          <w:lang w:val="en-US"/>
        </w:rPr>
        <w:t>NDC 2.0 Stocktake Report, 2025</w:t>
      </w:r>
    </w:p>
  </w:footnote>
  <w:footnote w:id="5">
    <w:p w14:paraId="49913951" w14:textId="3AF06705" w:rsidR="00DC5998" w:rsidRPr="00640983" w:rsidRDefault="00DC5998">
      <w:pPr>
        <w:pStyle w:val="FootnoteText"/>
        <w:rPr>
          <w:rFonts w:ascii="Times New Roman" w:hAnsi="Times New Roman"/>
          <w:sz w:val="20"/>
          <w:lang w:val="en-US"/>
        </w:rPr>
      </w:pPr>
      <w:r w:rsidRPr="00640983">
        <w:rPr>
          <w:rStyle w:val="FootnoteReference"/>
          <w:rFonts w:ascii="Times New Roman" w:hAnsi="Times New Roman"/>
          <w:sz w:val="20"/>
        </w:rPr>
        <w:footnoteRef/>
      </w:r>
      <w:r w:rsidRPr="00640983">
        <w:rPr>
          <w:rFonts w:ascii="Times New Roman" w:hAnsi="Times New Roman"/>
          <w:sz w:val="20"/>
        </w:rPr>
        <w:t xml:space="preserve"> </w:t>
      </w:r>
      <w:r w:rsidRPr="00640983">
        <w:rPr>
          <w:rFonts w:ascii="Times New Roman" w:hAnsi="Times New Roman"/>
          <w:sz w:val="20"/>
          <w:lang w:val="en-US"/>
        </w:rPr>
        <w:t>AAID, 202</w:t>
      </w:r>
      <w:r w:rsidR="004D72C4" w:rsidRPr="00640983">
        <w:rPr>
          <w:rFonts w:ascii="Times New Roman" w:hAnsi="Times New Roman"/>
          <w:sz w:val="20"/>
          <w:lang w:val="en-US"/>
        </w:rPr>
        <w:t>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35FB" w14:textId="07142B70" w:rsidR="009D7457" w:rsidRPr="00B83C6C" w:rsidRDefault="00C0596C" w:rsidP="00DA6D4D">
    <w:pPr>
      <w:pStyle w:val="Header"/>
      <w:rPr>
        <w:lang w:val="en-IN"/>
      </w:rPr>
    </w:pPr>
    <w:r>
      <w:rPr>
        <w:noProof/>
        <w:sz w:val="16"/>
        <w:szCs w:val="16"/>
        <w:lang w:val="en-IN" w:eastAsia="en-GB"/>
      </w:rPr>
      <w:t xml:space="preserve">Draft </w:t>
    </w:r>
    <w:r w:rsidR="00FE4745">
      <w:rPr>
        <w:noProof/>
        <w:sz w:val="16"/>
        <w:szCs w:val="16"/>
        <w:lang w:val="en-IN" w:eastAsia="en-GB"/>
      </w:rPr>
      <w:t>NDC 3.0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02B2" w14:textId="77777777" w:rsidR="009D7457" w:rsidRDefault="009D7457" w:rsidP="00DA6D4D">
    <w:pPr>
      <w:pStyle w:val="Header"/>
      <w:rPr>
        <w:lang w:val="da-DK"/>
      </w:rPr>
    </w:pPr>
  </w:p>
  <w:p w14:paraId="2E3D5256" w14:textId="77777777" w:rsidR="009D7457" w:rsidRDefault="009D7457" w:rsidP="00DA6D4D">
    <w:pPr>
      <w:pStyle w:val="Header"/>
      <w:rPr>
        <w:lang w:val="da-DK"/>
      </w:rPr>
    </w:pPr>
  </w:p>
  <w:p w14:paraId="018C87D6" w14:textId="77777777" w:rsidR="009D7457" w:rsidRPr="000C5D34" w:rsidRDefault="009D7457" w:rsidP="00DA6D4D">
    <w:pPr>
      <w:pStyle w:val="Header"/>
      <w:rPr>
        <w:lang w:val="da-D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24BA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CAB5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C482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B6B4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C0E4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A0D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F0E7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0AA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4ACEE8"/>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BDAC20D6"/>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decimal"/>
      <w:pStyle w:val="Heading3"/>
      <w:lvlText w:val="%1.%2.%3"/>
      <w:legacy w:legacy="1" w:legacySpace="0" w:legacyIndent="0"/>
      <w:lvlJc w:val="left"/>
    </w:lvl>
    <w:lvl w:ilvl="3">
      <w:start w:val="1"/>
      <w:numFmt w:val="decimal"/>
      <w:pStyle w:val="Heading4"/>
      <w:lvlText w:val="%1.%2.%3.%4"/>
      <w:legacy w:legacy="1" w:legacySpace="0" w:legacyIndent="0"/>
      <w:lvlJc w:val="left"/>
    </w:lvl>
    <w:lvl w:ilvl="4">
      <w:start w:val="1"/>
      <w:numFmt w:val="decimal"/>
      <w:pStyle w:val="Heading5"/>
      <w:lvlText w:val="%1.%2.%3.%4.%5"/>
      <w:legacy w:legacy="1" w:legacySpace="0" w:legacyIndent="0"/>
      <w:lvlJc w:val="left"/>
    </w:lvl>
    <w:lvl w:ilvl="5">
      <w:start w:val="1"/>
      <w:numFmt w:val="decimal"/>
      <w:pStyle w:val="Heading6"/>
      <w:lvlText w:val="%1.%2.%3.%4.%5.%6"/>
      <w:legacy w:legacy="1" w:legacySpace="0" w:legacyIndent="0"/>
      <w:lvlJc w:val="left"/>
    </w:lvl>
    <w:lvl w:ilvl="6">
      <w:start w:val="1"/>
      <w:numFmt w:val="decimal"/>
      <w:pStyle w:val="Heading7"/>
      <w:lvlText w:val="%1.%2.%3.%4.%5.%6.%7"/>
      <w:legacy w:legacy="1" w:legacySpace="0" w:legacyIndent="0"/>
      <w:lvlJc w:val="left"/>
    </w:lvl>
    <w:lvl w:ilvl="7">
      <w:start w:val="1"/>
      <w:numFmt w:val="decimal"/>
      <w:pStyle w:val="Heading8"/>
      <w:lvlText w:val="%1.%2.%3.%4.%5.%6.%7.%8"/>
      <w:legacy w:legacy="1" w:legacySpace="0" w:legacyIndent="0"/>
      <w:lvlJc w:val="left"/>
    </w:lvl>
    <w:lvl w:ilvl="8">
      <w:start w:val="1"/>
      <w:numFmt w:val="decimal"/>
      <w:pStyle w:val="Heading9"/>
      <w:lvlText w:val="%1.%2.%3.%4.%5.%6.%7.%8.%9"/>
      <w:legacy w:legacy="1" w:legacySpace="0" w:legacyIndent="0"/>
      <w:lvlJc w:val="left"/>
    </w:lvl>
  </w:abstractNum>
  <w:abstractNum w:abstractNumId="10" w15:restartNumberingAfterBreak="0">
    <w:nsid w:val="014604CF"/>
    <w:multiLevelType w:val="multilevel"/>
    <w:tmpl w:val="B04CF6E4"/>
    <w:lvl w:ilvl="0">
      <w:start w:val="1"/>
      <w:numFmt w:val="decimal"/>
      <w:pStyle w:val="ListBullet"/>
      <w:lvlText w:val="%1)"/>
      <w:lvlJc w:val="left"/>
      <w:pPr>
        <w:tabs>
          <w:tab w:val="num" w:pos="1928"/>
        </w:tabs>
        <w:ind w:left="1928" w:hanging="510"/>
      </w:pPr>
      <w:rPr>
        <w:rFonts w:hint="default"/>
      </w:rPr>
    </w:lvl>
    <w:lvl w:ilvl="1">
      <w:start w:val="1"/>
      <w:numFmt w:val="lowerLetter"/>
      <w:lvlText w:val="%2)"/>
      <w:lvlJc w:val="left"/>
      <w:pPr>
        <w:tabs>
          <w:tab w:val="num" w:pos="2495"/>
        </w:tabs>
        <w:ind w:left="2495" w:hanging="510"/>
      </w:pPr>
      <w:rPr>
        <w:rFonts w:hint="default"/>
      </w:rPr>
    </w:lvl>
    <w:lvl w:ilvl="2">
      <w:start w:val="1"/>
      <w:numFmt w:val="lowerRoman"/>
      <w:lvlText w:val="%3)"/>
      <w:lvlJc w:val="left"/>
      <w:pPr>
        <w:tabs>
          <w:tab w:val="num" w:pos="3215"/>
        </w:tabs>
        <w:ind w:left="2836" w:hanging="341"/>
      </w:pPr>
      <w:rPr>
        <w:rFonts w:hint="default"/>
      </w:rPr>
    </w:lvl>
    <w:lvl w:ilvl="3">
      <w:start w:val="1"/>
      <w:numFmt w:val="decimal"/>
      <w:lvlText w:val="(%4)"/>
      <w:lvlJc w:val="left"/>
      <w:pPr>
        <w:tabs>
          <w:tab w:val="num" w:pos="2935"/>
        </w:tabs>
        <w:ind w:left="2935" w:hanging="360"/>
      </w:pPr>
      <w:rPr>
        <w:rFonts w:hint="default"/>
      </w:rPr>
    </w:lvl>
    <w:lvl w:ilvl="4">
      <w:start w:val="1"/>
      <w:numFmt w:val="lowerLetter"/>
      <w:lvlText w:val="(%5)"/>
      <w:lvlJc w:val="left"/>
      <w:pPr>
        <w:tabs>
          <w:tab w:val="num" w:pos="3295"/>
        </w:tabs>
        <w:ind w:left="3295" w:hanging="360"/>
      </w:pPr>
      <w:rPr>
        <w:rFonts w:hint="default"/>
      </w:rPr>
    </w:lvl>
    <w:lvl w:ilvl="5">
      <w:start w:val="1"/>
      <w:numFmt w:val="lowerRoman"/>
      <w:lvlText w:val="(%6)"/>
      <w:lvlJc w:val="left"/>
      <w:pPr>
        <w:tabs>
          <w:tab w:val="num" w:pos="3655"/>
        </w:tabs>
        <w:ind w:left="3655" w:hanging="360"/>
      </w:pPr>
      <w:rPr>
        <w:rFonts w:hint="default"/>
      </w:rPr>
    </w:lvl>
    <w:lvl w:ilvl="6">
      <w:start w:val="1"/>
      <w:numFmt w:val="decimal"/>
      <w:lvlText w:val="%7."/>
      <w:lvlJc w:val="left"/>
      <w:pPr>
        <w:tabs>
          <w:tab w:val="num" w:pos="4015"/>
        </w:tabs>
        <w:ind w:left="4015" w:hanging="360"/>
      </w:pPr>
      <w:rPr>
        <w:rFonts w:hint="default"/>
      </w:rPr>
    </w:lvl>
    <w:lvl w:ilvl="7">
      <w:start w:val="1"/>
      <w:numFmt w:val="lowerLetter"/>
      <w:lvlText w:val="%8."/>
      <w:lvlJc w:val="left"/>
      <w:pPr>
        <w:tabs>
          <w:tab w:val="num" w:pos="5727"/>
        </w:tabs>
        <w:ind w:left="5727" w:hanging="1134"/>
      </w:pPr>
      <w:rPr>
        <w:rFonts w:hint="default"/>
      </w:rPr>
    </w:lvl>
    <w:lvl w:ilvl="8">
      <w:start w:val="1"/>
      <w:numFmt w:val="lowerRoman"/>
      <w:lvlText w:val="%9."/>
      <w:lvlJc w:val="left"/>
      <w:pPr>
        <w:tabs>
          <w:tab w:val="num" w:pos="4735"/>
        </w:tabs>
        <w:ind w:left="4735" w:hanging="360"/>
      </w:pPr>
      <w:rPr>
        <w:rFonts w:hint="default"/>
      </w:rPr>
    </w:lvl>
  </w:abstractNum>
  <w:abstractNum w:abstractNumId="11" w15:restartNumberingAfterBreak="0">
    <w:nsid w:val="030E5929"/>
    <w:multiLevelType w:val="hybridMultilevel"/>
    <w:tmpl w:val="908AA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4432A5A"/>
    <w:multiLevelType w:val="hybridMultilevel"/>
    <w:tmpl w:val="0EE279A0"/>
    <w:lvl w:ilvl="0" w:tplc="5DB69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D4282"/>
    <w:multiLevelType w:val="multilevel"/>
    <w:tmpl w:val="5AA27C14"/>
    <w:lvl w:ilvl="0">
      <w:start w:val="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0900E85"/>
    <w:multiLevelType w:val="hybridMultilevel"/>
    <w:tmpl w:val="6F4EA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49B292A"/>
    <w:multiLevelType w:val="hybridMultilevel"/>
    <w:tmpl w:val="BA9A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65267"/>
    <w:multiLevelType w:val="hybridMultilevel"/>
    <w:tmpl w:val="07267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C4BC0"/>
    <w:multiLevelType w:val="hybridMultilevel"/>
    <w:tmpl w:val="DB7CC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A37FA"/>
    <w:multiLevelType w:val="hybridMultilevel"/>
    <w:tmpl w:val="7F58C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E051B3"/>
    <w:multiLevelType w:val="hybridMultilevel"/>
    <w:tmpl w:val="EFD8F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D965883"/>
    <w:multiLevelType w:val="multilevel"/>
    <w:tmpl w:val="C98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90072"/>
    <w:multiLevelType w:val="multilevel"/>
    <w:tmpl w:val="63A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350C3"/>
    <w:multiLevelType w:val="hybridMultilevel"/>
    <w:tmpl w:val="1F0EC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14D218C"/>
    <w:multiLevelType w:val="multilevel"/>
    <w:tmpl w:val="04B28EC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sz w:val="36"/>
        <w:szCs w:val="3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B35FB"/>
    <w:multiLevelType w:val="multilevel"/>
    <w:tmpl w:val="405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E05AF"/>
    <w:multiLevelType w:val="hybridMultilevel"/>
    <w:tmpl w:val="948AFE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DC90900"/>
    <w:multiLevelType w:val="hybridMultilevel"/>
    <w:tmpl w:val="A1F4B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96B"/>
    <w:multiLevelType w:val="multilevel"/>
    <w:tmpl w:val="EFBE088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6652A"/>
    <w:multiLevelType w:val="hybridMultilevel"/>
    <w:tmpl w:val="94F0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40BF1"/>
    <w:multiLevelType w:val="hybridMultilevel"/>
    <w:tmpl w:val="7884BE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77C1912"/>
    <w:multiLevelType w:val="hybridMultilevel"/>
    <w:tmpl w:val="14F2F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E054F5A"/>
    <w:multiLevelType w:val="hybridMultilevel"/>
    <w:tmpl w:val="05E69AA6"/>
    <w:lvl w:ilvl="0" w:tplc="5DB69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70D37"/>
    <w:multiLevelType w:val="multilevel"/>
    <w:tmpl w:val="EFBE088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37950"/>
    <w:multiLevelType w:val="hybridMultilevel"/>
    <w:tmpl w:val="914E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6"/>
  </w:num>
  <w:num w:numId="14">
    <w:abstractNumId w:val="21"/>
  </w:num>
  <w:num w:numId="15">
    <w:abstractNumId w:val="24"/>
  </w:num>
  <w:num w:numId="16">
    <w:abstractNumId w:val="20"/>
  </w:num>
  <w:num w:numId="17">
    <w:abstractNumId w:val="16"/>
  </w:num>
  <w:num w:numId="18">
    <w:abstractNumId w:val="13"/>
  </w:num>
  <w:num w:numId="19">
    <w:abstractNumId w:val="31"/>
  </w:num>
  <w:num w:numId="20">
    <w:abstractNumId w:val="12"/>
  </w:num>
  <w:num w:numId="21">
    <w:abstractNumId w:val="17"/>
  </w:num>
  <w:num w:numId="22">
    <w:abstractNumId w:val="18"/>
  </w:num>
  <w:num w:numId="23">
    <w:abstractNumId w:val="14"/>
  </w:num>
  <w:num w:numId="24">
    <w:abstractNumId w:val="19"/>
  </w:num>
  <w:num w:numId="25">
    <w:abstractNumId w:val="15"/>
  </w:num>
  <w:num w:numId="26">
    <w:abstractNumId w:val="33"/>
  </w:num>
  <w:num w:numId="27">
    <w:abstractNumId w:val="30"/>
  </w:num>
  <w:num w:numId="28">
    <w:abstractNumId w:val="29"/>
  </w:num>
  <w:num w:numId="29">
    <w:abstractNumId w:val="25"/>
  </w:num>
  <w:num w:numId="30">
    <w:abstractNumId w:val="11"/>
  </w:num>
  <w:num w:numId="31">
    <w:abstractNumId w:val="22"/>
  </w:num>
  <w:num w:numId="32">
    <w:abstractNumId w:val="28"/>
  </w:num>
  <w:num w:numId="33">
    <w:abstractNumId w:val="27"/>
  </w:num>
  <w:num w:numId="34">
    <w:abstractNumId w:val="32"/>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rias Goll, Esq.">
    <w15:presenceInfo w15:providerId="None" w15:userId="Urias Goll, Es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75"/>
    <w:rsid w:val="000009E9"/>
    <w:rsid w:val="00000D25"/>
    <w:rsid w:val="00001E95"/>
    <w:rsid w:val="00002224"/>
    <w:rsid w:val="0000251F"/>
    <w:rsid w:val="00003031"/>
    <w:rsid w:val="0000437E"/>
    <w:rsid w:val="00005475"/>
    <w:rsid w:val="00005766"/>
    <w:rsid w:val="000068BF"/>
    <w:rsid w:val="00006E4A"/>
    <w:rsid w:val="00006EC8"/>
    <w:rsid w:val="000071F2"/>
    <w:rsid w:val="00007313"/>
    <w:rsid w:val="00007FF8"/>
    <w:rsid w:val="00011677"/>
    <w:rsid w:val="00011F92"/>
    <w:rsid w:val="00012871"/>
    <w:rsid w:val="0001367A"/>
    <w:rsid w:val="000138A6"/>
    <w:rsid w:val="0001436E"/>
    <w:rsid w:val="000143B3"/>
    <w:rsid w:val="00015564"/>
    <w:rsid w:val="000158BD"/>
    <w:rsid w:val="000161D6"/>
    <w:rsid w:val="000163D8"/>
    <w:rsid w:val="00016AA6"/>
    <w:rsid w:val="0001717A"/>
    <w:rsid w:val="000204CE"/>
    <w:rsid w:val="00020843"/>
    <w:rsid w:val="000208E5"/>
    <w:rsid w:val="00020E39"/>
    <w:rsid w:val="00022463"/>
    <w:rsid w:val="000233DB"/>
    <w:rsid w:val="00024023"/>
    <w:rsid w:val="00024EDD"/>
    <w:rsid w:val="000257B5"/>
    <w:rsid w:val="00026D74"/>
    <w:rsid w:val="00027303"/>
    <w:rsid w:val="00027B24"/>
    <w:rsid w:val="00027FE8"/>
    <w:rsid w:val="000302A9"/>
    <w:rsid w:val="00031D71"/>
    <w:rsid w:val="00031EC2"/>
    <w:rsid w:val="00032843"/>
    <w:rsid w:val="00033042"/>
    <w:rsid w:val="000334A9"/>
    <w:rsid w:val="000338A4"/>
    <w:rsid w:val="000347D2"/>
    <w:rsid w:val="000349A8"/>
    <w:rsid w:val="000362F0"/>
    <w:rsid w:val="000363CB"/>
    <w:rsid w:val="00036540"/>
    <w:rsid w:val="000369D5"/>
    <w:rsid w:val="000378F3"/>
    <w:rsid w:val="00037BCB"/>
    <w:rsid w:val="000415F7"/>
    <w:rsid w:val="0004173D"/>
    <w:rsid w:val="00041D62"/>
    <w:rsid w:val="0004216A"/>
    <w:rsid w:val="00042625"/>
    <w:rsid w:val="0004373E"/>
    <w:rsid w:val="000449DA"/>
    <w:rsid w:val="000458A9"/>
    <w:rsid w:val="00045A46"/>
    <w:rsid w:val="00045BE3"/>
    <w:rsid w:val="00046183"/>
    <w:rsid w:val="00047870"/>
    <w:rsid w:val="0005020A"/>
    <w:rsid w:val="0005044B"/>
    <w:rsid w:val="00050A1A"/>
    <w:rsid w:val="000517AA"/>
    <w:rsid w:val="00051B0B"/>
    <w:rsid w:val="00052537"/>
    <w:rsid w:val="0005314D"/>
    <w:rsid w:val="00054A1E"/>
    <w:rsid w:val="00054DBD"/>
    <w:rsid w:val="00054F20"/>
    <w:rsid w:val="00055619"/>
    <w:rsid w:val="00055CAF"/>
    <w:rsid w:val="000569BC"/>
    <w:rsid w:val="000608FF"/>
    <w:rsid w:val="00060E99"/>
    <w:rsid w:val="000619E3"/>
    <w:rsid w:val="00062517"/>
    <w:rsid w:val="000626F9"/>
    <w:rsid w:val="00062795"/>
    <w:rsid w:val="00062A5A"/>
    <w:rsid w:val="00063BF0"/>
    <w:rsid w:val="0006597B"/>
    <w:rsid w:val="000669D8"/>
    <w:rsid w:val="00067786"/>
    <w:rsid w:val="00070838"/>
    <w:rsid w:val="0007166C"/>
    <w:rsid w:val="000724B6"/>
    <w:rsid w:val="0007259E"/>
    <w:rsid w:val="0007309A"/>
    <w:rsid w:val="000746F1"/>
    <w:rsid w:val="00075025"/>
    <w:rsid w:val="000753AE"/>
    <w:rsid w:val="0008000D"/>
    <w:rsid w:val="000825E5"/>
    <w:rsid w:val="00082A27"/>
    <w:rsid w:val="000833E3"/>
    <w:rsid w:val="00083565"/>
    <w:rsid w:val="00083CC3"/>
    <w:rsid w:val="00084A1E"/>
    <w:rsid w:val="00084BCB"/>
    <w:rsid w:val="00084FC2"/>
    <w:rsid w:val="0008527D"/>
    <w:rsid w:val="00086323"/>
    <w:rsid w:val="00086734"/>
    <w:rsid w:val="000869DF"/>
    <w:rsid w:val="0009018E"/>
    <w:rsid w:val="00090EC0"/>
    <w:rsid w:val="000916E5"/>
    <w:rsid w:val="00091858"/>
    <w:rsid w:val="000921DE"/>
    <w:rsid w:val="00092B05"/>
    <w:rsid w:val="00092CD5"/>
    <w:rsid w:val="000935ED"/>
    <w:rsid w:val="000948F8"/>
    <w:rsid w:val="00095273"/>
    <w:rsid w:val="00095A9B"/>
    <w:rsid w:val="00095A9D"/>
    <w:rsid w:val="0009623F"/>
    <w:rsid w:val="00097E3B"/>
    <w:rsid w:val="000A03F8"/>
    <w:rsid w:val="000A05F1"/>
    <w:rsid w:val="000A0A24"/>
    <w:rsid w:val="000A0DFB"/>
    <w:rsid w:val="000A1C2A"/>
    <w:rsid w:val="000A1D74"/>
    <w:rsid w:val="000A230E"/>
    <w:rsid w:val="000A23B8"/>
    <w:rsid w:val="000A2636"/>
    <w:rsid w:val="000A3039"/>
    <w:rsid w:val="000A30C8"/>
    <w:rsid w:val="000A589D"/>
    <w:rsid w:val="000A757F"/>
    <w:rsid w:val="000B15D7"/>
    <w:rsid w:val="000B1CB3"/>
    <w:rsid w:val="000B2A94"/>
    <w:rsid w:val="000B3D68"/>
    <w:rsid w:val="000B41C7"/>
    <w:rsid w:val="000B4C9F"/>
    <w:rsid w:val="000B546B"/>
    <w:rsid w:val="000B6836"/>
    <w:rsid w:val="000B6FB7"/>
    <w:rsid w:val="000B70DD"/>
    <w:rsid w:val="000B7C66"/>
    <w:rsid w:val="000C00C7"/>
    <w:rsid w:val="000C0ACA"/>
    <w:rsid w:val="000C15D8"/>
    <w:rsid w:val="000C1871"/>
    <w:rsid w:val="000C2556"/>
    <w:rsid w:val="000C3374"/>
    <w:rsid w:val="000C40A4"/>
    <w:rsid w:val="000C43D5"/>
    <w:rsid w:val="000C447A"/>
    <w:rsid w:val="000C49E9"/>
    <w:rsid w:val="000C4B83"/>
    <w:rsid w:val="000C4F9A"/>
    <w:rsid w:val="000C59A7"/>
    <w:rsid w:val="000C5D34"/>
    <w:rsid w:val="000C5E46"/>
    <w:rsid w:val="000C607B"/>
    <w:rsid w:val="000C6334"/>
    <w:rsid w:val="000C66EC"/>
    <w:rsid w:val="000C6B2D"/>
    <w:rsid w:val="000C6FFE"/>
    <w:rsid w:val="000C72DB"/>
    <w:rsid w:val="000C73D8"/>
    <w:rsid w:val="000D098D"/>
    <w:rsid w:val="000D40C5"/>
    <w:rsid w:val="000D465F"/>
    <w:rsid w:val="000D4AB1"/>
    <w:rsid w:val="000D4D08"/>
    <w:rsid w:val="000D52E7"/>
    <w:rsid w:val="000D53A1"/>
    <w:rsid w:val="000D7481"/>
    <w:rsid w:val="000D7585"/>
    <w:rsid w:val="000D78FF"/>
    <w:rsid w:val="000D7DB5"/>
    <w:rsid w:val="000E084D"/>
    <w:rsid w:val="000E12F6"/>
    <w:rsid w:val="000E15BE"/>
    <w:rsid w:val="000E2DBD"/>
    <w:rsid w:val="000E2E12"/>
    <w:rsid w:val="000E31CB"/>
    <w:rsid w:val="000E37EC"/>
    <w:rsid w:val="000E399E"/>
    <w:rsid w:val="000E47FE"/>
    <w:rsid w:val="000E506C"/>
    <w:rsid w:val="000E5A10"/>
    <w:rsid w:val="000E5F4C"/>
    <w:rsid w:val="000E6015"/>
    <w:rsid w:val="000E7FBF"/>
    <w:rsid w:val="000F0E43"/>
    <w:rsid w:val="000F27B1"/>
    <w:rsid w:val="000F2C43"/>
    <w:rsid w:val="000F3191"/>
    <w:rsid w:val="000F375D"/>
    <w:rsid w:val="000F3B9E"/>
    <w:rsid w:val="000F3F39"/>
    <w:rsid w:val="000F4086"/>
    <w:rsid w:val="000F4605"/>
    <w:rsid w:val="000F47D3"/>
    <w:rsid w:val="000F5758"/>
    <w:rsid w:val="000F6CB7"/>
    <w:rsid w:val="000F7ECA"/>
    <w:rsid w:val="00100105"/>
    <w:rsid w:val="001008F8"/>
    <w:rsid w:val="001012AA"/>
    <w:rsid w:val="001040C4"/>
    <w:rsid w:val="0010440A"/>
    <w:rsid w:val="00104537"/>
    <w:rsid w:val="0010499C"/>
    <w:rsid w:val="00104B03"/>
    <w:rsid w:val="00104D00"/>
    <w:rsid w:val="00106798"/>
    <w:rsid w:val="00107AFA"/>
    <w:rsid w:val="00107CE9"/>
    <w:rsid w:val="00107F8C"/>
    <w:rsid w:val="00112697"/>
    <w:rsid w:val="00112DB6"/>
    <w:rsid w:val="00113750"/>
    <w:rsid w:val="00113E6B"/>
    <w:rsid w:val="00114B19"/>
    <w:rsid w:val="00114F51"/>
    <w:rsid w:val="00114F65"/>
    <w:rsid w:val="00115063"/>
    <w:rsid w:val="001163F8"/>
    <w:rsid w:val="001169B5"/>
    <w:rsid w:val="00116F90"/>
    <w:rsid w:val="00117112"/>
    <w:rsid w:val="0012058C"/>
    <w:rsid w:val="001205F0"/>
    <w:rsid w:val="001226E2"/>
    <w:rsid w:val="00123D46"/>
    <w:rsid w:val="00124EB2"/>
    <w:rsid w:val="00124FFA"/>
    <w:rsid w:val="00125170"/>
    <w:rsid w:val="0012568F"/>
    <w:rsid w:val="0012605C"/>
    <w:rsid w:val="001260A9"/>
    <w:rsid w:val="001267D6"/>
    <w:rsid w:val="0012687E"/>
    <w:rsid w:val="00127018"/>
    <w:rsid w:val="001277B3"/>
    <w:rsid w:val="00127822"/>
    <w:rsid w:val="00127B18"/>
    <w:rsid w:val="00127C3C"/>
    <w:rsid w:val="00127FF5"/>
    <w:rsid w:val="00130469"/>
    <w:rsid w:val="00131D8F"/>
    <w:rsid w:val="00133495"/>
    <w:rsid w:val="00133FBC"/>
    <w:rsid w:val="00134954"/>
    <w:rsid w:val="00135844"/>
    <w:rsid w:val="00135A35"/>
    <w:rsid w:val="00137581"/>
    <w:rsid w:val="001378C9"/>
    <w:rsid w:val="00140CB9"/>
    <w:rsid w:val="001412CC"/>
    <w:rsid w:val="00141D4C"/>
    <w:rsid w:val="00142819"/>
    <w:rsid w:val="00143713"/>
    <w:rsid w:val="00143BF5"/>
    <w:rsid w:val="00144AE5"/>
    <w:rsid w:val="00147A8D"/>
    <w:rsid w:val="00150A0A"/>
    <w:rsid w:val="00150BAF"/>
    <w:rsid w:val="00151CF8"/>
    <w:rsid w:val="001520ED"/>
    <w:rsid w:val="0015258A"/>
    <w:rsid w:val="0015290B"/>
    <w:rsid w:val="00152AEB"/>
    <w:rsid w:val="001532F4"/>
    <w:rsid w:val="0015339F"/>
    <w:rsid w:val="00153A9B"/>
    <w:rsid w:val="00153ADE"/>
    <w:rsid w:val="001547E0"/>
    <w:rsid w:val="0015511A"/>
    <w:rsid w:val="00155EF1"/>
    <w:rsid w:val="0015628C"/>
    <w:rsid w:val="001565BD"/>
    <w:rsid w:val="00156EA9"/>
    <w:rsid w:val="001601C1"/>
    <w:rsid w:val="0016030D"/>
    <w:rsid w:val="001605C9"/>
    <w:rsid w:val="00160686"/>
    <w:rsid w:val="00160CC8"/>
    <w:rsid w:val="001615AD"/>
    <w:rsid w:val="00161696"/>
    <w:rsid w:val="00161860"/>
    <w:rsid w:val="00161929"/>
    <w:rsid w:val="00161963"/>
    <w:rsid w:val="001619FD"/>
    <w:rsid w:val="00163049"/>
    <w:rsid w:val="001634BF"/>
    <w:rsid w:val="00163A17"/>
    <w:rsid w:val="00163A80"/>
    <w:rsid w:val="0016415E"/>
    <w:rsid w:val="00164577"/>
    <w:rsid w:val="0016526C"/>
    <w:rsid w:val="00165991"/>
    <w:rsid w:val="00166767"/>
    <w:rsid w:val="001671CF"/>
    <w:rsid w:val="00167933"/>
    <w:rsid w:val="00170FF8"/>
    <w:rsid w:val="0017105A"/>
    <w:rsid w:val="0017322D"/>
    <w:rsid w:val="001737D5"/>
    <w:rsid w:val="00175769"/>
    <w:rsid w:val="00176FB9"/>
    <w:rsid w:val="0017728F"/>
    <w:rsid w:val="0017771F"/>
    <w:rsid w:val="00177BD9"/>
    <w:rsid w:val="001804E5"/>
    <w:rsid w:val="00182189"/>
    <w:rsid w:val="0018234F"/>
    <w:rsid w:val="00182628"/>
    <w:rsid w:val="00183687"/>
    <w:rsid w:val="00183CDD"/>
    <w:rsid w:val="00183DC0"/>
    <w:rsid w:val="00184767"/>
    <w:rsid w:val="00184EBB"/>
    <w:rsid w:val="00185D0A"/>
    <w:rsid w:val="0018693C"/>
    <w:rsid w:val="00186EE2"/>
    <w:rsid w:val="001870E9"/>
    <w:rsid w:val="00187577"/>
    <w:rsid w:val="00187819"/>
    <w:rsid w:val="00187872"/>
    <w:rsid w:val="00187DD3"/>
    <w:rsid w:val="00190E6E"/>
    <w:rsid w:val="001912A3"/>
    <w:rsid w:val="001915A8"/>
    <w:rsid w:val="00191A74"/>
    <w:rsid w:val="00191B28"/>
    <w:rsid w:val="00191D94"/>
    <w:rsid w:val="0019255C"/>
    <w:rsid w:val="00192732"/>
    <w:rsid w:val="00192B00"/>
    <w:rsid w:val="001934D6"/>
    <w:rsid w:val="00194429"/>
    <w:rsid w:val="0019537A"/>
    <w:rsid w:val="00195B4B"/>
    <w:rsid w:val="00196385"/>
    <w:rsid w:val="001964DF"/>
    <w:rsid w:val="001966F2"/>
    <w:rsid w:val="00196DD3"/>
    <w:rsid w:val="00197318"/>
    <w:rsid w:val="001A10C5"/>
    <w:rsid w:val="001A461C"/>
    <w:rsid w:val="001A5F66"/>
    <w:rsid w:val="001A6BDB"/>
    <w:rsid w:val="001A7074"/>
    <w:rsid w:val="001A73AB"/>
    <w:rsid w:val="001B00B9"/>
    <w:rsid w:val="001B1190"/>
    <w:rsid w:val="001B3D62"/>
    <w:rsid w:val="001B4348"/>
    <w:rsid w:val="001B451D"/>
    <w:rsid w:val="001B4990"/>
    <w:rsid w:val="001B65C1"/>
    <w:rsid w:val="001B708C"/>
    <w:rsid w:val="001B7670"/>
    <w:rsid w:val="001B7926"/>
    <w:rsid w:val="001B799F"/>
    <w:rsid w:val="001B79A1"/>
    <w:rsid w:val="001C01F3"/>
    <w:rsid w:val="001C0692"/>
    <w:rsid w:val="001C1312"/>
    <w:rsid w:val="001C1831"/>
    <w:rsid w:val="001C2168"/>
    <w:rsid w:val="001C219B"/>
    <w:rsid w:val="001C29BA"/>
    <w:rsid w:val="001C3938"/>
    <w:rsid w:val="001C3A87"/>
    <w:rsid w:val="001C444D"/>
    <w:rsid w:val="001C5EB9"/>
    <w:rsid w:val="001C5F3B"/>
    <w:rsid w:val="001C6D2F"/>
    <w:rsid w:val="001C7895"/>
    <w:rsid w:val="001D0296"/>
    <w:rsid w:val="001D0C04"/>
    <w:rsid w:val="001D248A"/>
    <w:rsid w:val="001D41FD"/>
    <w:rsid w:val="001D427B"/>
    <w:rsid w:val="001D49EF"/>
    <w:rsid w:val="001D4AC2"/>
    <w:rsid w:val="001D4E21"/>
    <w:rsid w:val="001D560C"/>
    <w:rsid w:val="001D5AEC"/>
    <w:rsid w:val="001D63BC"/>
    <w:rsid w:val="001D6C03"/>
    <w:rsid w:val="001D6EF8"/>
    <w:rsid w:val="001D6FFB"/>
    <w:rsid w:val="001D775A"/>
    <w:rsid w:val="001D7B9A"/>
    <w:rsid w:val="001E05AA"/>
    <w:rsid w:val="001E20B6"/>
    <w:rsid w:val="001E244D"/>
    <w:rsid w:val="001E2DEF"/>
    <w:rsid w:val="001E4761"/>
    <w:rsid w:val="001E4982"/>
    <w:rsid w:val="001E57F1"/>
    <w:rsid w:val="001E6816"/>
    <w:rsid w:val="001E720E"/>
    <w:rsid w:val="001E73EF"/>
    <w:rsid w:val="001E74E5"/>
    <w:rsid w:val="001E768F"/>
    <w:rsid w:val="001F0148"/>
    <w:rsid w:val="001F04DD"/>
    <w:rsid w:val="001F0B04"/>
    <w:rsid w:val="001F10EB"/>
    <w:rsid w:val="001F1E61"/>
    <w:rsid w:val="001F2A4D"/>
    <w:rsid w:val="001F3060"/>
    <w:rsid w:val="001F410E"/>
    <w:rsid w:val="001F46ED"/>
    <w:rsid w:val="001F4ADB"/>
    <w:rsid w:val="001F665F"/>
    <w:rsid w:val="001F7D92"/>
    <w:rsid w:val="001F7E7B"/>
    <w:rsid w:val="002007FF"/>
    <w:rsid w:val="00200BB9"/>
    <w:rsid w:val="002010D8"/>
    <w:rsid w:val="00202022"/>
    <w:rsid w:val="00202975"/>
    <w:rsid w:val="00202B3F"/>
    <w:rsid w:val="002038A2"/>
    <w:rsid w:val="002046D6"/>
    <w:rsid w:val="0020504B"/>
    <w:rsid w:val="00205371"/>
    <w:rsid w:val="002054A2"/>
    <w:rsid w:val="00205766"/>
    <w:rsid w:val="002072ED"/>
    <w:rsid w:val="0020741B"/>
    <w:rsid w:val="00207D5A"/>
    <w:rsid w:val="0021221F"/>
    <w:rsid w:val="00212C9F"/>
    <w:rsid w:val="00212F2D"/>
    <w:rsid w:val="002135EB"/>
    <w:rsid w:val="00214AC9"/>
    <w:rsid w:val="002152C0"/>
    <w:rsid w:val="0021532B"/>
    <w:rsid w:val="00215B94"/>
    <w:rsid w:val="00215C61"/>
    <w:rsid w:val="00215C69"/>
    <w:rsid w:val="00215DB7"/>
    <w:rsid w:val="00216A14"/>
    <w:rsid w:val="0021725F"/>
    <w:rsid w:val="0022067F"/>
    <w:rsid w:val="002213C8"/>
    <w:rsid w:val="0022172B"/>
    <w:rsid w:val="00221AAB"/>
    <w:rsid w:val="00222AAC"/>
    <w:rsid w:val="00223620"/>
    <w:rsid w:val="0022451E"/>
    <w:rsid w:val="00225801"/>
    <w:rsid w:val="00225B5A"/>
    <w:rsid w:val="00225F41"/>
    <w:rsid w:val="00230086"/>
    <w:rsid w:val="002308BA"/>
    <w:rsid w:val="0023099E"/>
    <w:rsid w:val="00231FF1"/>
    <w:rsid w:val="00233C5D"/>
    <w:rsid w:val="002342AF"/>
    <w:rsid w:val="002344F0"/>
    <w:rsid w:val="00234D03"/>
    <w:rsid w:val="002357A2"/>
    <w:rsid w:val="0023592A"/>
    <w:rsid w:val="00235B32"/>
    <w:rsid w:val="00235EC7"/>
    <w:rsid w:val="00236448"/>
    <w:rsid w:val="002366B8"/>
    <w:rsid w:val="00236E46"/>
    <w:rsid w:val="00237E5D"/>
    <w:rsid w:val="00240EA0"/>
    <w:rsid w:val="0024101A"/>
    <w:rsid w:val="00241D34"/>
    <w:rsid w:val="002420EB"/>
    <w:rsid w:val="0024285D"/>
    <w:rsid w:val="00242959"/>
    <w:rsid w:val="00243042"/>
    <w:rsid w:val="0024315F"/>
    <w:rsid w:val="00244831"/>
    <w:rsid w:val="00245D9E"/>
    <w:rsid w:val="002461B8"/>
    <w:rsid w:val="00246252"/>
    <w:rsid w:val="00246498"/>
    <w:rsid w:val="00246A31"/>
    <w:rsid w:val="00246C36"/>
    <w:rsid w:val="00246C46"/>
    <w:rsid w:val="00246DC4"/>
    <w:rsid w:val="002477B6"/>
    <w:rsid w:val="00250273"/>
    <w:rsid w:val="00250AF1"/>
    <w:rsid w:val="00251C23"/>
    <w:rsid w:val="0025331D"/>
    <w:rsid w:val="002533A3"/>
    <w:rsid w:val="002541A7"/>
    <w:rsid w:val="00254251"/>
    <w:rsid w:val="00257A90"/>
    <w:rsid w:val="00257ACE"/>
    <w:rsid w:val="00260E3F"/>
    <w:rsid w:val="00261398"/>
    <w:rsid w:val="0026160C"/>
    <w:rsid w:val="00261F00"/>
    <w:rsid w:val="00262441"/>
    <w:rsid w:val="00262A44"/>
    <w:rsid w:val="00262B5D"/>
    <w:rsid w:val="00262D7D"/>
    <w:rsid w:val="002643D9"/>
    <w:rsid w:val="00264D99"/>
    <w:rsid w:val="00265734"/>
    <w:rsid w:val="0026642D"/>
    <w:rsid w:val="002665EE"/>
    <w:rsid w:val="002669FA"/>
    <w:rsid w:val="00266A60"/>
    <w:rsid w:val="00270DB7"/>
    <w:rsid w:val="002728C1"/>
    <w:rsid w:val="00272C95"/>
    <w:rsid w:val="00272CB1"/>
    <w:rsid w:val="002742E1"/>
    <w:rsid w:val="00274406"/>
    <w:rsid w:val="002744E8"/>
    <w:rsid w:val="002760CF"/>
    <w:rsid w:val="00276921"/>
    <w:rsid w:val="00277420"/>
    <w:rsid w:val="00280278"/>
    <w:rsid w:val="002804BB"/>
    <w:rsid w:val="00281F92"/>
    <w:rsid w:val="00282A8E"/>
    <w:rsid w:val="00282CC6"/>
    <w:rsid w:val="00284FB3"/>
    <w:rsid w:val="00285549"/>
    <w:rsid w:val="0028782F"/>
    <w:rsid w:val="00287A2D"/>
    <w:rsid w:val="0029059B"/>
    <w:rsid w:val="00290829"/>
    <w:rsid w:val="00290F01"/>
    <w:rsid w:val="002917DF"/>
    <w:rsid w:val="0029191E"/>
    <w:rsid w:val="0029239F"/>
    <w:rsid w:val="002938B3"/>
    <w:rsid w:val="002957E4"/>
    <w:rsid w:val="0029613D"/>
    <w:rsid w:val="0029626F"/>
    <w:rsid w:val="00297781"/>
    <w:rsid w:val="002A0CDC"/>
    <w:rsid w:val="002A1536"/>
    <w:rsid w:val="002A4551"/>
    <w:rsid w:val="002A558E"/>
    <w:rsid w:val="002A61BA"/>
    <w:rsid w:val="002A6BB6"/>
    <w:rsid w:val="002A7D91"/>
    <w:rsid w:val="002B00DF"/>
    <w:rsid w:val="002B0A63"/>
    <w:rsid w:val="002B13BD"/>
    <w:rsid w:val="002B1505"/>
    <w:rsid w:val="002B15EB"/>
    <w:rsid w:val="002B1BF8"/>
    <w:rsid w:val="002B2ACE"/>
    <w:rsid w:val="002B2CCE"/>
    <w:rsid w:val="002B2E7F"/>
    <w:rsid w:val="002B2E80"/>
    <w:rsid w:val="002B3C05"/>
    <w:rsid w:val="002B3E90"/>
    <w:rsid w:val="002B5660"/>
    <w:rsid w:val="002B5973"/>
    <w:rsid w:val="002B6673"/>
    <w:rsid w:val="002B66D0"/>
    <w:rsid w:val="002B6934"/>
    <w:rsid w:val="002B71F1"/>
    <w:rsid w:val="002B7979"/>
    <w:rsid w:val="002C2003"/>
    <w:rsid w:val="002C2299"/>
    <w:rsid w:val="002C358A"/>
    <w:rsid w:val="002C3F85"/>
    <w:rsid w:val="002C3FC3"/>
    <w:rsid w:val="002C69CA"/>
    <w:rsid w:val="002C6C47"/>
    <w:rsid w:val="002C76E3"/>
    <w:rsid w:val="002D02D4"/>
    <w:rsid w:val="002D2ACF"/>
    <w:rsid w:val="002D3421"/>
    <w:rsid w:val="002D4364"/>
    <w:rsid w:val="002D484E"/>
    <w:rsid w:val="002D534E"/>
    <w:rsid w:val="002D554B"/>
    <w:rsid w:val="002D59F0"/>
    <w:rsid w:val="002D697E"/>
    <w:rsid w:val="002D6F70"/>
    <w:rsid w:val="002D7474"/>
    <w:rsid w:val="002D75C8"/>
    <w:rsid w:val="002E0430"/>
    <w:rsid w:val="002E0CD8"/>
    <w:rsid w:val="002E190F"/>
    <w:rsid w:val="002E1963"/>
    <w:rsid w:val="002E2AD1"/>
    <w:rsid w:val="002E4B48"/>
    <w:rsid w:val="002E4D3D"/>
    <w:rsid w:val="002E4F4E"/>
    <w:rsid w:val="002E4F65"/>
    <w:rsid w:val="002E5215"/>
    <w:rsid w:val="002E5320"/>
    <w:rsid w:val="002E571E"/>
    <w:rsid w:val="002E5902"/>
    <w:rsid w:val="002E6571"/>
    <w:rsid w:val="002E7531"/>
    <w:rsid w:val="002E7922"/>
    <w:rsid w:val="002E7C40"/>
    <w:rsid w:val="002F0D77"/>
    <w:rsid w:val="002F1D03"/>
    <w:rsid w:val="002F1DE0"/>
    <w:rsid w:val="002F2ACB"/>
    <w:rsid w:val="002F2D73"/>
    <w:rsid w:val="002F328A"/>
    <w:rsid w:val="002F32AF"/>
    <w:rsid w:val="002F37AC"/>
    <w:rsid w:val="002F40FB"/>
    <w:rsid w:val="002F52A1"/>
    <w:rsid w:val="002F6149"/>
    <w:rsid w:val="002F61D6"/>
    <w:rsid w:val="002F7BE0"/>
    <w:rsid w:val="003006AA"/>
    <w:rsid w:val="003006E8"/>
    <w:rsid w:val="00301612"/>
    <w:rsid w:val="00301CAD"/>
    <w:rsid w:val="00301D32"/>
    <w:rsid w:val="00301FD4"/>
    <w:rsid w:val="00303240"/>
    <w:rsid w:val="003036A7"/>
    <w:rsid w:val="003038E9"/>
    <w:rsid w:val="00304ED4"/>
    <w:rsid w:val="00305AA0"/>
    <w:rsid w:val="00305B69"/>
    <w:rsid w:val="00305E61"/>
    <w:rsid w:val="00306475"/>
    <w:rsid w:val="0030661A"/>
    <w:rsid w:val="00307947"/>
    <w:rsid w:val="00307F24"/>
    <w:rsid w:val="003104AC"/>
    <w:rsid w:val="003108F0"/>
    <w:rsid w:val="00310A94"/>
    <w:rsid w:val="00310BEC"/>
    <w:rsid w:val="00311F07"/>
    <w:rsid w:val="003125C8"/>
    <w:rsid w:val="0031372E"/>
    <w:rsid w:val="0031400C"/>
    <w:rsid w:val="003144A5"/>
    <w:rsid w:val="003159C3"/>
    <w:rsid w:val="003160C0"/>
    <w:rsid w:val="00316278"/>
    <w:rsid w:val="003163ED"/>
    <w:rsid w:val="00316659"/>
    <w:rsid w:val="00316662"/>
    <w:rsid w:val="003166F2"/>
    <w:rsid w:val="00316941"/>
    <w:rsid w:val="00316E8B"/>
    <w:rsid w:val="0031709B"/>
    <w:rsid w:val="00317B7D"/>
    <w:rsid w:val="00320B82"/>
    <w:rsid w:val="00320BAC"/>
    <w:rsid w:val="003210E6"/>
    <w:rsid w:val="003212A4"/>
    <w:rsid w:val="0032183B"/>
    <w:rsid w:val="00322809"/>
    <w:rsid w:val="003228C7"/>
    <w:rsid w:val="00322F98"/>
    <w:rsid w:val="003246A8"/>
    <w:rsid w:val="00324985"/>
    <w:rsid w:val="00325076"/>
    <w:rsid w:val="0032612F"/>
    <w:rsid w:val="003262FE"/>
    <w:rsid w:val="00326C5F"/>
    <w:rsid w:val="00326C84"/>
    <w:rsid w:val="003274A1"/>
    <w:rsid w:val="003274E4"/>
    <w:rsid w:val="00330534"/>
    <w:rsid w:val="00330EE4"/>
    <w:rsid w:val="00332521"/>
    <w:rsid w:val="00332E7A"/>
    <w:rsid w:val="00334232"/>
    <w:rsid w:val="00334AA7"/>
    <w:rsid w:val="00334B7A"/>
    <w:rsid w:val="0033523F"/>
    <w:rsid w:val="0033586B"/>
    <w:rsid w:val="00336C9A"/>
    <w:rsid w:val="0033720E"/>
    <w:rsid w:val="00337433"/>
    <w:rsid w:val="00337B78"/>
    <w:rsid w:val="0034069B"/>
    <w:rsid w:val="00343C66"/>
    <w:rsid w:val="00344202"/>
    <w:rsid w:val="00344B0F"/>
    <w:rsid w:val="003455E1"/>
    <w:rsid w:val="00345710"/>
    <w:rsid w:val="00345F11"/>
    <w:rsid w:val="003462FE"/>
    <w:rsid w:val="00346486"/>
    <w:rsid w:val="0034654E"/>
    <w:rsid w:val="00346D99"/>
    <w:rsid w:val="00347419"/>
    <w:rsid w:val="003500C2"/>
    <w:rsid w:val="003501DB"/>
    <w:rsid w:val="00350FF0"/>
    <w:rsid w:val="003517B7"/>
    <w:rsid w:val="003519D6"/>
    <w:rsid w:val="00351A77"/>
    <w:rsid w:val="00351E62"/>
    <w:rsid w:val="00352756"/>
    <w:rsid w:val="00352914"/>
    <w:rsid w:val="00353172"/>
    <w:rsid w:val="003538DD"/>
    <w:rsid w:val="003558CB"/>
    <w:rsid w:val="00355D08"/>
    <w:rsid w:val="0035677D"/>
    <w:rsid w:val="00356B08"/>
    <w:rsid w:val="003571F4"/>
    <w:rsid w:val="003576DA"/>
    <w:rsid w:val="00360783"/>
    <w:rsid w:val="003608B4"/>
    <w:rsid w:val="00360927"/>
    <w:rsid w:val="0036202E"/>
    <w:rsid w:val="00363012"/>
    <w:rsid w:val="003635A2"/>
    <w:rsid w:val="00363B11"/>
    <w:rsid w:val="00363DE1"/>
    <w:rsid w:val="00364564"/>
    <w:rsid w:val="003651B9"/>
    <w:rsid w:val="00366637"/>
    <w:rsid w:val="00367204"/>
    <w:rsid w:val="003674AC"/>
    <w:rsid w:val="00367531"/>
    <w:rsid w:val="003707A5"/>
    <w:rsid w:val="00370B68"/>
    <w:rsid w:val="00370FD4"/>
    <w:rsid w:val="003716DB"/>
    <w:rsid w:val="00372056"/>
    <w:rsid w:val="003721BE"/>
    <w:rsid w:val="003727EE"/>
    <w:rsid w:val="00372FC7"/>
    <w:rsid w:val="00373AF9"/>
    <w:rsid w:val="00374BF4"/>
    <w:rsid w:val="003750F2"/>
    <w:rsid w:val="003761F7"/>
    <w:rsid w:val="00376711"/>
    <w:rsid w:val="00376863"/>
    <w:rsid w:val="00377E05"/>
    <w:rsid w:val="003809E1"/>
    <w:rsid w:val="0038175C"/>
    <w:rsid w:val="0038228E"/>
    <w:rsid w:val="003823C3"/>
    <w:rsid w:val="00383219"/>
    <w:rsid w:val="00384818"/>
    <w:rsid w:val="003848A3"/>
    <w:rsid w:val="00384A51"/>
    <w:rsid w:val="00384C82"/>
    <w:rsid w:val="00385DCB"/>
    <w:rsid w:val="003865EC"/>
    <w:rsid w:val="0038670D"/>
    <w:rsid w:val="00386988"/>
    <w:rsid w:val="00386D0F"/>
    <w:rsid w:val="0038719C"/>
    <w:rsid w:val="003906B7"/>
    <w:rsid w:val="003911A1"/>
    <w:rsid w:val="00391B01"/>
    <w:rsid w:val="00391F4F"/>
    <w:rsid w:val="003926A1"/>
    <w:rsid w:val="00393549"/>
    <w:rsid w:val="003941EA"/>
    <w:rsid w:val="00394D12"/>
    <w:rsid w:val="00397606"/>
    <w:rsid w:val="00397A27"/>
    <w:rsid w:val="00397C64"/>
    <w:rsid w:val="00397FE6"/>
    <w:rsid w:val="003A02F7"/>
    <w:rsid w:val="003A15A5"/>
    <w:rsid w:val="003A15EA"/>
    <w:rsid w:val="003A239F"/>
    <w:rsid w:val="003A2FB4"/>
    <w:rsid w:val="003A3239"/>
    <w:rsid w:val="003A3434"/>
    <w:rsid w:val="003A38C7"/>
    <w:rsid w:val="003A4727"/>
    <w:rsid w:val="003A5A1F"/>
    <w:rsid w:val="003A656C"/>
    <w:rsid w:val="003B05A8"/>
    <w:rsid w:val="003B1B3A"/>
    <w:rsid w:val="003B211F"/>
    <w:rsid w:val="003B310A"/>
    <w:rsid w:val="003B3369"/>
    <w:rsid w:val="003B4EA1"/>
    <w:rsid w:val="003B5A20"/>
    <w:rsid w:val="003B5AA6"/>
    <w:rsid w:val="003B5F69"/>
    <w:rsid w:val="003B6F1E"/>
    <w:rsid w:val="003B77AE"/>
    <w:rsid w:val="003C044C"/>
    <w:rsid w:val="003C1ACB"/>
    <w:rsid w:val="003C1AF9"/>
    <w:rsid w:val="003C215F"/>
    <w:rsid w:val="003C2261"/>
    <w:rsid w:val="003C29B3"/>
    <w:rsid w:val="003C31A7"/>
    <w:rsid w:val="003C3CD5"/>
    <w:rsid w:val="003C438A"/>
    <w:rsid w:val="003C468F"/>
    <w:rsid w:val="003C4A41"/>
    <w:rsid w:val="003C4BC0"/>
    <w:rsid w:val="003C62E3"/>
    <w:rsid w:val="003C67F0"/>
    <w:rsid w:val="003C6990"/>
    <w:rsid w:val="003C72A8"/>
    <w:rsid w:val="003C7484"/>
    <w:rsid w:val="003C7CDF"/>
    <w:rsid w:val="003D0124"/>
    <w:rsid w:val="003D1B74"/>
    <w:rsid w:val="003D1C4F"/>
    <w:rsid w:val="003D2D1D"/>
    <w:rsid w:val="003D3930"/>
    <w:rsid w:val="003D3FA7"/>
    <w:rsid w:val="003D40C7"/>
    <w:rsid w:val="003D4408"/>
    <w:rsid w:val="003D4834"/>
    <w:rsid w:val="003D494A"/>
    <w:rsid w:val="003D6049"/>
    <w:rsid w:val="003D7001"/>
    <w:rsid w:val="003D728A"/>
    <w:rsid w:val="003D7B94"/>
    <w:rsid w:val="003E0657"/>
    <w:rsid w:val="003E068F"/>
    <w:rsid w:val="003E13FB"/>
    <w:rsid w:val="003E1799"/>
    <w:rsid w:val="003E1FB6"/>
    <w:rsid w:val="003E3726"/>
    <w:rsid w:val="003E3D7D"/>
    <w:rsid w:val="003E465F"/>
    <w:rsid w:val="003E559B"/>
    <w:rsid w:val="003E5C2D"/>
    <w:rsid w:val="003E6306"/>
    <w:rsid w:val="003E7253"/>
    <w:rsid w:val="003E73F2"/>
    <w:rsid w:val="003F0DCB"/>
    <w:rsid w:val="003F3725"/>
    <w:rsid w:val="003F3C2F"/>
    <w:rsid w:val="003F4158"/>
    <w:rsid w:val="003F4435"/>
    <w:rsid w:val="003F4A8B"/>
    <w:rsid w:val="003F4DB0"/>
    <w:rsid w:val="003F5015"/>
    <w:rsid w:val="003F5167"/>
    <w:rsid w:val="003F5DE6"/>
    <w:rsid w:val="003F6516"/>
    <w:rsid w:val="003F6E07"/>
    <w:rsid w:val="003F7E05"/>
    <w:rsid w:val="004025C7"/>
    <w:rsid w:val="00402A84"/>
    <w:rsid w:val="00402D0B"/>
    <w:rsid w:val="0040372B"/>
    <w:rsid w:val="00403F96"/>
    <w:rsid w:val="00404164"/>
    <w:rsid w:val="004042D0"/>
    <w:rsid w:val="00404BF2"/>
    <w:rsid w:val="0040517C"/>
    <w:rsid w:val="00405709"/>
    <w:rsid w:val="00405C72"/>
    <w:rsid w:val="00406029"/>
    <w:rsid w:val="00406363"/>
    <w:rsid w:val="004066AC"/>
    <w:rsid w:val="00406853"/>
    <w:rsid w:val="0040703B"/>
    <w:rsid w:val="00407470"/>
    <w:rsid w:val="00412DD9"/>
    <w:rsid w:val="00412FD4"/>
    <w:rsid w:val="00414393"/>
    <w:rsid w:val="0041455D"/>
    <w:rsid w:val="00414D78"/>
    <w:rsid w:val="0041647A"/>
    <w:rsid w:val="00417474"/>
    <w:rsid w:val="004208A7"/>
    <w:rsid w:val="00420A0B"/>
    <w:rsid w:val="00420D2A"/>
    <w:rsid w:val="00421628"/>
    <w:rsid w:val="00421E65"/>
    <w:rsid w:val="00421EF7"/>
    <w:rsid w:val="00422CC7"/>
    <w:rsid w:val="00422DB1"/>
    <w:rsid w:val="00422EB3"/>
    <w:rsid w:val="0042341C"/>
    <w:rsid w:val="00423429"/>
    <w:rsid w:val="0042369E"/>
    <w:rsid w:val="00423892"/>
    <w:rsid w:val="004241F1"/>
    <w:rsid w:val="004247DE"/>
    <w:rsid w:val="00424BC1"/>
    <w:rsid w:val="004256EA"/>
    <w:rsid w:val="0042718C"/>
    <w:rsid w:val="0042785C"/>
    <w:rsid w:val="004279BA"/>
    <w:rsid w:val="004301DD"/>
    <w:rsid w:val="00430926"/>
    <w:rsid w:val="00431282"/>
    <w:rsid w:val="00431A5D"/>
    <w:rsid w:val="00431C14"/>
    <w:rsid w:val="00431F23"/>
    <w:rsid w:val="004320D4"/>
    <w:rsid w:val="00432177"/>
    <w:rsid w:val="00432A93"/>
    <w:rsid w:val="00432BF3"/>
    <w:rsid w:val="004336E0"/>
    <w:rsid w:val="00433FFC"/>
    <w:rsid w:val="00434929"/>
    <w:rsid w:val="004352EB"/>
    <w:rsid w:val="004354FB"/>
    <w:rsid w:val="004377B5"/>
    <w:rsid w:val="004404A6"/>
    <w:rsid w:val="00440A57"/>
    <w:rsid w:val="00440B5F"/>
    <w:rsid w:val="004411C5"/>
    <w:rsid w:val="00441D58"/>
    <w:rsid w:val="004423E1"/>
    <w:rsid w:val="00442B68"/>
    <w:rsid w:val="00442BAF"/>
    <w:rsid w:val="00443D0C"/>
    <w:rsid w:val="004443CB"/>
    <w:rsid w:val="004450F2"/>
    <w:rsid w:val="00445262"/>
    <w:rsid w:val="00445272"/>
    <w:rsid w:val="004453EF"/>
    <w:rsid w:val="00445D02"/>
    <w:rsid w:val="004468D3"/>
    <w:rsid w:val="00446A5A"/>
    <w:rsid w:val="00446E6D"/>
    <w:rsid w:val="004471A3"/>
    <w:rsid w:val="00447F4C"/>
    <w:rsid w:val="00450271"/>
    <w:rsid w:val="0045067B"/>
    <w:rsid w:val="00450D31"/>
    <w:rsid w:val="00450F1D"/>
    <w:rsid w:val="004516F9"/>
    <w:rsid w:val="004526A1"/>
    <w:rsid w:val="0045287D"/>
    <w:rsid w:val="004536C3"/>
    <w:rsid w:val="004554C7"/>
    <w:rsid w:val="00455B83"/>
    <w:rsid w:val="00456A56"/>
    <w:rsid w:val="004572BD"/>
    <w:rsid w:val="0046039B"/>
    <w:rsid w:val="00460F8A"/>
    <w:rsid w:val="004619B7"/>
    <w:rsid w:val="00461DEB"/>
    <w:rsid w:val="00461EA4"/>
    <w:rsid w:val="00463EB0"/>
    <w:rsid w:val="00464638"/>
    <w:rsid w:val="004647D2"/>
    <w:rsid w:val="00464DC6"/>
    <w:rsid w:val="00465F03"/>
    <w:rsid w:val="0046695E"/>
    <w:rsid w:val="0046776F"/>
    <w:rsid w:val="004677C5"/>
    <w:rsid w:val="00467966"/>
    <w:rsid w:val="00470269"/>
    <w:rsid w:val="0047096B"/>
    <w:rsid w:val="00470E9A"/>
    <w:rsid w:val="00471085"/>
    <w:rsid w:val="004714C3"/>
    <w:rsid w:val="00471B91"/>
    <w:rsid w:val="004720BD"/>
    <w:rsid w:val="00472755"/>
    <w:rsid w:val="0047293F"/>
    <w:rsid w:val="004732EF"/>
    <w:rsid w:val="00474E1B"/>
    <w:rsid w:val="00474ECD"/>
    <w:rsid w:val="004758B8"/>
    <w:rsid w:val="0047646F"/>
    <w:rsid w:val="004774F9"/>
    <w:rsid w:val="00477A1D"/>
    <w:rsid w:val="00477EC7"/>
    <w:rsid w:val="00477F79"/>
    <w:rsid w:val="0048022C"/>
    <w:rsid w:val="00481254"/>
    <w:rsid w:val="00481672"/>
    <w:rsid w:val="004822EB"/>
    <w:rsid w:val="00482ACF"/>
    <w:rsid w:val="00483069"/>
    <w:rsid w:val="0048382C"/>
    <w:rsid w:val="00483CAF"/>
    <w:rsid w:val="00484FDD"/>
    <w:rsid w:val="004853BB"/>
    <w:rsid w:val="00485B36"/>
    <w:rsid w:val="0048661E"/>
    <w:rsid w:val="00486989"/>
    <w:rsid w:val="00486E99"/>
    <w:rsid w:val="00487CFA"/>
    <w:rsid w:val="0049127F"/>
    <w:rsid w:val="004915B7"/>
    <w:rsid w:val="00492077"/>
    <w:rsid w:val="00492D77"/>
    <w:rsid w:val="00492FB5"/>
    <w:rsid w:val="00493400"/>
    <w:rsid w:val="00493442"/>
    <w:rsid w:val="004936C7"/>
    <w:rsid w:val="0049391C"/>
    <w:rsid w:val="0049397A"/>
    <w:rsid w:val="00494139"/>
    <w:rsid w:val="00494253"/>
    <w:rsid w:val="0049497C"/>
    <w:rsid w:val="004959F6"/>
    <w:rsid w:val="00496FC3"/>
    <w:rsid w:val="0049711F"/>
    <w:rsid w:val="00497A84"/>
    <w:rsid w:val="004A036F"/>
    <w:rsid w:val="004A1121"/>
    <w:rsid w:val="004A1135"/>
    <w:rsid w:val="004A1146"/>
    <w:rsid w:val="004A1BB2"/>
    <w:rsid w:val="004A1CFC"/>
    <w:rsid w:val="004A22E6"/>
    <w:rsid w:val="004A2D78"/>
    <w:rsid w:val="004A2DCB"/>
    <w:rsid w:val="004A2F02"/>
    <w:rsid w:val="004A3CAC"/>
    <w:rsid w:val="004A3F96"/>
    <w:rsid w:val="004A4887"/>
    <w:rsid w:val="004A5054"/>
    <w:rsid w:val="004A6E95"/>
    <w:rsid w:val="004A73B8"/>
    <w:rsid w:val="004A7C14"/>
    <w:rsid w:val="004B0A1A"/>
    <w:rsid w:val="004B0AE9"/>
    <w:rsid w:val="004B1B2A"/>
    <w:rsid w:val="004B1FD0"/>
    <w:rsid w:val="004B250A"/>
    <w:rsid w:val="004B2F06"/>
    <w:rsid w:val="004B2F72"/>
    <w:rsid w:val="004B31EF"/>
    <w:rsid w:val="004B386B"/>
    <w:rsid w:val="004B3966"/>
    <w:rsid w:val="004B3A76"/>
    <w:rsid w:val="004B3CFA"/>
    <w:rsid w:val="004B4FB9"/>
    <w:rsid w:val="004B5204"/>
    <w:rsid w:val="004B5E07"/>
    <w:rsid w:val="004B65A0"/>
    <w:rsid w:val="004B6E43"/>
    <w:rsid w:val="004B77EC"/>
    <w:rsid w:val="004C1CE0"/>
    <w:rsid w:val="004C1F0D"/>
    <w:rsid w:val="004C2BFA"/>
    <w:rsid w:val="004C32B0"/>
    <w:rsid w:val="004C3389"/>
    <w:rsid w:val="004C499B"/>
    <w:rsid w:val="004C5529"/>
    <w:rsid w:val="004C598C"/>
    <w:rsid w:val="004C632E"/>
    <w:rsid w:val="004C6ED5"/>
    <w:rsid w:val="004C7292"/>
    <w:rsid w:val="004C7597"/>
    <w:rsid w:val="004C777B"/>
    <w:rsid w:val="004C78E4"/>
    <w:rsid w:val="004C7A3F"/>
    <w:rsid w:val="004C7EA7"/>
    <w:rsid w:val="004D05B3"/>
    <w:rsid w:val="004D06A9"/>
    <w:rsid w:val="004D1162"/>
    <w:rsid w:val="004D2979"/>
    <w:rsid w:val="004D2A7D"/>
    <w:rsid w:val="004D2F27"/>
    <w:rsid w:val="004D4C85"/>
    <w:rsid w:val="004D5024"/>
    <w:rsid w:val="004D5715"/>
    <w:rsid w:val="004D5E32"/>
    <w:rsid w:val="004D6D75"/>
    <w:rsid w:val="004D72C4"/>
    <w:rsid w:val="004D76A8"/>
    <w:rsid w:val="004D78DE"/>
    <w:rsid w:val="004D7DF6"/>
    <w:rsid w:val="004E077D"/>
    <w:rsid w:val="004E17A3"/>
    <w:rsid w:val="004E335A"/>
    <w:rsid w:val="004E5164"/>
    <w:rsid w:val="004E5266"/>
    <w:rsid w:val="004E5412"/>
    <w:rsid w:val="004E5BA4"/>
    <w:rsid w:val="004E6BCE"/>
    <w:rsid w:val="004F00E4"/>
    <w:rsid w:val="004F0262"/>
    <w:rsid w:val="004F053D"/>
    <w:rsid w:val="004F05AB"/>
    <w:rsid w:val="004F06A6"/>
    <w:rsid w:val="004F09D5"/>
    <w:rsid w:val="004F1CB6"/>
    <w:rsid w:val="004F2306"/>
    <w:rsid w:val="004F24F5"/>
    <w:rsid w:val="004F28E4"/>
    <w:rsid w:val="004F3920"/>
    <w:rsid w:val="004F4059"/>
    <w:rsid w:val="004F451C"/>
    <w:rsid w:val="004F53ED"/>
    <w:rsid w:val="004F62FE"/>
    <w:rsid w:val="004F6624"/>
    <w:rsid w:val="004F67E6"/>
    <w:rsid w:val="004F6CA0"/>
    <w:rsid w:val="004F6ED2"/>
    <w:rsid w:val="0050062E"/>
    <w:rsid w:val="00500BC5"/>
    <w:rsid w:val="00501100"/>
    <w:rsid w:val="00501A47"/>
    <w:rsid w:val="00501F6F"/>
    <w:rsid w:val="005022A6"/>
    <w:rsid w:val="00502A8D"/>
    <w:rsid w:val="005044F9"/>
    <w:rsid w:val="00504BC3"/>
    <w:rsid w:val="005052BE"/>
    <w:rsid w:val="00505910"/>
    <w:rsid w:val="00506CBF"/>
    <w:rsid w:val="00506D1F"/>
    <w:rsid w:val="00506DDF"/>
    <w:rsid w:val="005076AF"/>
    <w:rsid w:val="00507A54"/>
    <w:rsid w:val="0051008E"/>
    <w:rsid w:val="00510402"/>
    <w:rsid w:val="0051074B"/>
    <w:rsid w:val="005110FB"/>
    <w:rsid w:val="00511B75"/>
    <w:rsid w:val="0051230C"/>
    <w:rsid w:val="005124BF"/>
    <w:rsid w:val="00512F3D"/>
    <w:rsid w:val="0051388E"/>
    <w:rsid w:val="00513B13"/>
    <w:rsid w:val="00513B81"/>
    <w:rsid w:val="005147CD"/>
    <w:rsid w:val="00515084"/>
    <w:rsid w:val="005157B6"/>
    <w:rsid w:val="005157C9"/>
    <w:rsid w:val="00516274"/>
    <w:rsid w:val="00516AE1"/>
    <w:rsid w:val="0051736C"/>
    <w:rsid w:val="00517D62"/>
    <w:rsid w:val="0052007F"/>
    <w:rsid w:val="0052145E"/>
    <w:rsid w:val="005218E4"/>
    <w:rsid w:val="005227AB"/>
    <w:rsid w:val="00522CDC"/>
    <w:rsid w:val="005232A9"/>
    <w:rsid w:val="00523896"/>
    <w:rsid w:val="0052420F"/>
    <w:rsid w:val="00524C21"/>
    <w:rsid w:val="00525F41"/>
    <w:rsid w:val="00526199"/>
    <w:rsid w:val="00526F2C"/>
    <w:rsid w:val="005275B3"/>
    <w:rsid w:val="005279D2"/>
    <w:rsid w:val="00527F96"/>
    <w:rsid w:val="0053122B"/>
    <w:rsid w:val="0053198B"/>
    <w:rsid w:val="00531CB7"/>
    <w:rsid w:val="00531D84"/>
    <w:rsid w:val="00531ED6"/>
    <w:rsid w:val="00532F88"/>
    <w:rsid w:val="00533013"/>
    <w:rsid w:val="00533626"/>
    <w:rsid w:val="00533EC3"/>
    <w:rsid w:val="00534EBF"/>
    <w:rsid w:val="00535167"/>
    <w:rsid w:val="00535B05"/>
    <w:rsid w:val="00535E1B"/>
    <w:rsid w:val="005373D3"/>
    <w:rsid w:val="00537409"/>
    <w:rsid w:val="00540826"/>
    <w:rsid w:val="00541574"/>
    <w:rsid w:val="00541FC5"/>
    <w:rsid w:val="00542BED"/>
    <w:rsid w:val="00542FBF"/>
    <w:rsid w:val="00543179"/>
    <w:rsid w:val="00543841"/>
    <w:rsid w:val="005444E5"/>
    <w:rsid w:val="00544F58"/>
    <w:rsid w:val="005454D6"/>
    <w:rsid w:val="005457EF"/>
    <w:rsid w:val="00545836"/>
    <w:rsid w:val="00546671"/>
    <w:rsid w:val="005466C0"/>
    <w:rsid w:val="00547CFE"/>
    <w:rsid w:val="00550AE4"/>
    <w:rsid w:val="005517F6"/>
    <w:rsid w:val="005523BA"/>
    <w:rsid w:val="00552882"/>
    <w:rsid w:val="00552BCF"/>
    <w:rsid w:val="00552BE5"/>
    <w:rsid w:val="00552E28"/>
    <w:rsid w:val="00553AD9"/>
    <w:rsid w:val="00553BFC"/>
    <w:rsid w:val="005553B9"/>
    <w:rsid w:val="00555C9D"/>
    <w:rsid w:val="00556169"/>
    <w:rsid w:val="005563BE"/>
    <w:rsid w:val="005567CA"/>
    <w:rsid w:val="00556871"/>
    <w:rsid w:val="00556F1A"/>
    <w:rsid w:val="005579E5"/>
    <w:rsid w:val="00560FC3"/>
    <w:rsid w:val="0056138F"/>
    <w:rsid w:val="0056198C"/>
    <w:rsid w:val="00562B49"/>
    <w:rsid w:val="00562F63"/>
    <w:rsid w:val="00563DF3"/>
    <w:rsid w:val="0056453A"/>
    <w:rsid w:val="00564A70"/>
    <w:rsid w:val="0056527C"/>
    <w:rsid w:val="00566B1E"/>
    <w:rsid w:val="00566CEE"/>
    <w:rsid w:val="00566FD0"/>
    <w:rsid w:val="0056777C"/>
    <w:rsid w:val="00567E1F"/>
    <w:rsid w:val="0057180A"/>
    <w:rsid w:val="00572E36"/>
    <w:rsid w:val="0057385C"/>
    <w:rsid w:val="00573BCE"/>
    <w:rsid w:val="005746F6"/>
    <w:rsid w:val="005750B3"/>
    <w:rsid w:val="005755CE"/>
    <w:rsid w:val="005758DD"/>
    <w:rsid w:val="005760E1"/>
    <w:rsid w:val="005761FC"/>
    <w:rsid w:val="005762A9"/>
    <w:rsid w:val="00576BA7"/>
    <w:rsid w:val="00576C6F"/>
    <w:rsid w:val="00577D7D"/>
    <w:rsid w:val="00580B41"/>
    <w:rsid w:val="00582463"/>
    <w:rsid w:val="005828DA"/>
    <w:rsid w:val="00583FE7"/>
    <w:rsid w:val="00584009"/>
    <w:rsid w:val="0058420A"/>
    <w:rsid w:val="00584497"/>
    <w:rsid w:val="005858C1"/>
    <w:rsid w:val="005860F4"/>
    <w:rsid w:val="0058611C"/>
    <w:rsid w:val="0058622F"/>
    <w:rsid w:val="00587033"/>
    <w:rsid w:val="00587A11"/>
    <w:rsid w:val="0059177B"/>
    <w:rsid w:val="0059264B"/>
    <w:rsid w:val="00592BA5"/>
    <w:rsid w:val="00592EF4"/>
    <w:rsid w:val="00592F6B"/>
    <w:rsid w:val="00593E96"/>
    <w:rsid w:val="005945A8"/>
    <w:rsid w:val="00594EA5"/>
    <w:rsid w:val="00594FF7"/>
    <w:rsid w:val="0059502A"/>
    <w:rsid w:val="005950C6"/>
    <w:rsid w:val="00596184"/>
    <w:rsid w:val="005977B4"/>
    <w:rsid w:val="00597C3B"/>
    <w:rsid w:val="005A1568"/>
    <w:rsid w:val="005A24B9"/>
    <w:rsid w:val="005A260A"/>
    <w:rsid w:val="005A2E3C"/>
    <w:rsid w:val="005A4A29"/>
    <w:rsid w:val="005A640D"/>
    <w:rsid w:val="005B0AC6"/>
    <w:rsid w:val="005B0BA9"/>
    <w:rsid w:val="005B1123"/>
    <w:rsid w:val="005B1DB3"/>
    <w:rsid w:val="005B2187"/>
    <w:rsid w:val="005B2693"/>
    <w:rsid w:val="005B3239"/>
    <w:rsid w:val="005B3501"/>
    <w:rsid w:val="005B3793"/>
    <w:rsid w:val="005B3CBB"/>
    <w:rsid w:val="005B4689"/>
    <w:rsid w:val="005B4B23"/>
    <w:rsid w:val="005B4DA3"/>
    <w:rsid w:val="005B52AE"/>
    <w:rsid w:val="005B53C5"/>
    <w:rsid w:val="005B6857"/>
    <w:rsid w:val="005B7187"/>
    <w:rsid w:val="005C05F0"/>
    <w:rsid w:val="005C0CAE"/>
    <w:rsid w:val="005C0F96"/>
    <w:rsid w:val="005C1DF6"/>
    <w:rsid w:val="005C20B2"/>
    <w:rsid w:val="005C26C3"/>
    <w:rsid w:val="005C2A6F"/>
    <w:rsid w:val="005C368E"/>
    <w:rsid w:val="005C3E9A"/>
    <w:rsid w:val="005C3F0D"/>
    <w:rsid w:val="005C462F"/>
    <w:rsid w:val="005C4A3D"/>
    <w:rsid w:val="005C4DC8"/>
    <w:rsid w:val="005C60ED"/>
    <w:rsid w:val="005C6436"/>
    <w:rsid w:val="005D00F4"/>
    <w:rsid w:val="005D065F"/>
    <w:rsid w:val="005D0746"/>
    <w:rsid w:val="005D07DC"/>
    <w:rsid w:val="005D1356"/>
    <w:rsid w:val="005D1A2F"/>
    <w:rsid w:val="005D1AA8"/>
    <w:rsid w:val="005D2C22"/>
    <w:rsid w:val="005D3523"/>
    <w:rsid w:val="005D3A8C"/>
    <w:rsid w:val="005D3B46"/>
    <w:rsid w:val="005D42D2"/>
    <w:rsid w:val="005D491B"/>
    <w:rsid w:val="005D5C36"/>
    <w:rsid w:val="005D6755"/>
    <w:rsid w:val="005D6DB7"/>
    <w:rsid w:val="005D7631"/>
    <w:rsid w:val="005D7F36"/>
    <w:rsid w:val="005E0360"/>
    <w:rsid w:val="005E04FC"/>
    <w:rsid w:val="005E0B74"/>
    <w:rsid w:val="005E13E9"/>
    <w:rsid w:val="005E1A80"/>
    <w:rsid w:val="005E46D1"/>
    <w:rsid w:val="005E4AAF"/>
    <w:rsid w:val="005E4C90"/>
    <w:rsid w:val="005E57E0"/>
    <w:rsid w:val="005E58C2"/>
    <w:rsid w:val="005F2EEA"/>
    <w:rsid w:val="005F4D1D"/>
    <w:rsid w:val="005F563B"/>
    <w:rsid w:val="005F5929"/>
    <w:rsid w:val="005F59F9"/>
    <w:rsid w:val="005F63A3"/>
    <w:rsid w:val="005F6484"/>
    <w:rsid w:val="005F6B52"/>
    <w:rsid w:val="005F6ED2"/>
    <w:rsid w:val="005F793E"/>
    <w:rsid w:val="00600228"/>
    <w:rsid w:val="00600651"/>
    <w:rsid w:val="00600D19"/>
    <w:rsid w:val="00601D1C"/>
    <w:rsid w:val="006037B1"/>
    <w:rsid w:val="006039CF"/>
    <w:rsid w:val="00603DDB"/>
    <w:rsid w:val="00603E94"/>
    <w:rsid w:val="00604D2C"/>
    <w:rsid w:val="00605573"/>
    <w:rsid w:val="00605F43"/>
    <w:rsid w:val="006060EF"/>
    <w:rsid w:val="006069B3"/>
    <w:rsid w:val="00607114"/>
    <w:rsid w:val="00607E6F"/>
    <w:rsid w:val="00610195"/>
    <w:rsid w:val="00610EE4"/>
    <w:rsid w:val="0061155B"/>
    <w:rsid w:val="006116D1"/>
    <w:rsid w:val="00611707"/>
    <w:rsid w:val="00611C70"/>
    <w:rsid w:val="0061285A"/>
    <w:rsid w:val="0061309C"/>
    <w:rsid w:val="006132F8"/>
    <w:rsid w:val="006134C2"/>
    <w:rsid w:val="00613DB8"/>
    <w:rsid w:val="00614231"/>
    <w:rsid w:val="006206D8"/>
    <w:rsid w:val="00620C8A"/>
    <w:rsid w:val="006212FA"/>
    <w:rsid w:val="00621882"/>
    <w:rsid w:val="00622A0D"/>
    <w:rsid w:val="006232E4"/>
    <w:rsid w:val="0062467F"/>
    <w:rsid w:val="00625657"/>
    <w:rsid w:val="00625738"/>
    <w:rsid w:val="00625E5D"/>
    <w:rsid w:val="00626315"/>
    <w:rsid w:val="00626569"/>
    <w:rsid w:val="00626FF2"/>
    <w:rsid w:val="0063033F"/>
    <w:rsid w:val="0063037E"/>
    <w:rsid w:val="00630971"/>
    <w:rsid w:val="006313EA"/>
    <w:rsid w:val="00631C98"/>
    <w:rsid w:val="00632232"/>
    <w:rsid w:val="00632689"/>
    <w:rsid w:val="00632D2F"/>
    <w:rsid w:val="0063382F"/>
    <w:rsid w:val="006339D9"/>
    <w:rsid w:val="00633FC9"/>
    <w:rsid w:val="00635282"/>
    <w:rsid w:val="00635E47"/>
    <w:rsid w:val="00637859"/>
    <w:rsid w:val="00637EC6"/>
    <w:rsid w:val="006407BA"/>
    <w:rsid w:val="00640983"/>
    <w:rsid w:val="00640F70"/>
    <w:rsid w:val="00641BBC"/>
    <w:rsid w:val="00641C6A"/>
    <w:rsid w:val="00641F6A"/>
    <w:rsid w:val="00642121"/>
    <w:rsid w:val="00643D15"/>
    <w:rsid w:val="0064413C"/>
    <w:rsid w:val="00644309"/>
    <w:rsid w:val="006450A1"/>
    <w:rsid w:val="00645A1A"/>
    <w:rsid w:val="00645CAE"/>
    <w:rsid w:val="00646092"/>
    <w:rsid w:val="00647B24"/>
    <w:rsid w:val="0065055B"/>
    <w:rsid w:val="0065060B"/>
    <w:rsid w:val="0065140A"/>
    <w:rsid w:val="00652974"/>
    <w:rsid w:val="00652ED6"/>
    <w:rsid w:val="006538B9"/>
    <w:rsid w:val="006540B8"/>
    <w:rsid w:val="0065458B"/>
    <w:rsid w:val="006560B9"/>
    <w:rsid w:val="0065627E"/>
    <w:rsid w:val="006567B7"/>
    <w:rsid w:val="0065749F"/>
    <w:rsid w:val="006606D3"/>
    <w:rsid w:val="00660CA4"/>
    <w:rsid w:val="00660EF6"/>
    <w:rsid w:val="00661D9D"/>
    <w:rsid w:val="00662F99"/>
    <w:rsid w:val="006632A4"/>
    <w:rsid w:val="00663AA4"/>
    <w:rsid w:val="00663BD2"/>
    <w:rsid w:val="006648F8"/>
    <w:rsid w:val="00664D7B"/>
    <w:rsid w:val="006656B8"/>
    <w:rsid w:val="006659D1"/>
    <w:rsid w:val="00665B77"/>
    <w:rsid w:val="00666A35"/>
    <w:rsid w:val="00667BB7"/>
    <w:rsid w:val="00667D90"/>
    <w:rsid w:val="006705BA"/>
    <w:rsid w:val="00670B12"/>
    <w:rsid w:val="00670C13"/>
    <w:rsid w:val="006713D1"/>
    <w:rsid w:val="006716BA"/>
    <w:rsid w:val="006721C1"/>
    <w:rsid w:val="006721DD"/>
    <w:rsid w:val="00672A10"/>
    <w:rsid w:val="00672A47"/>
    <w:rsid w:val="00672CDB"/>
    <w:rsid w:val="00672E71"/>
    <w:rsid w:val="00673B20"/>
    <w:rsid w:val="00673D24"/>
    <w:rsid w:val="006749A0"/>
    <w:rsid w:val="00674E8C"/>
    <w:rsid w:val="006752D7"/>
    <w:rsid w:val="00675730"/>
    <w:rsid w:val="006757EB"/>
    <w:rsid w:val="006763E6"/>
    <w:rsid w:val="006769AE"/>
    <w:rsid w:val="00677107"/>
    <w:rsid w:val="00677A59"/>
    <w:rsid w:val="006803F0"/>
    <w:rsid w:val="00680DA1"/>
    <w:rsid w:val="006816A8"/>
    <w:rsid w:val="00681C9C"/>
    <w:rsid w:val="0068203C"/>
    <w:rsid w:val="00682F34"/>
    <w:rsid w:val="00683039"/>
    <w:rsid w:val="00683150"/>
    <w:rsid w:val="006832F6"/>
    <w:rsid w:val="00685572"/>
    <w:rsid w:val="00686250"/>
    <w:rsid w:val="006876B7"/>
    <w:rsid w:val="006906AE"/>
    <w:rsid w:val="00690D8A"/>
    <w:rsid w:val="00692CF4"/>
    <w:rsid w:val="00692E15"/>
    <w:rsid w:val="006946D0"/>
    <w:rsid w:val="0069630F"/>
    <w:rsid w:val="0069656E"/>
    <w:rsid w:val="00696700"/>
    <w:rsid w:val="00697ACA"/>
    <w:rsid w:val="00697B9E"/>
    <w:rsid w:val="00697F07"/>
    <w:rsid w:val="006A01D7"/>
    <w:rsid w:val="006A0C3B"/>
    <w:rsid w:val="006A0CA8"/>
    <w:rsid w:val="006A0E53"/>
    <w:rsid w:val="006A12E1"/>
    <w:rsid w:val="006A1B9F"/>
    <w:rsid w:val="006A217B"/>
    <w:rsid w:val="006A2D67"/>
    <w:rsid w:val="006A2F5F"/>
    <w:rsid w:val="006A31AD"/>
    <w:rsid w:val="006A3ADE"/>
    <w:rsid w:val="006A3D66"/>
    <w:rsid w:val="006A5926"/>
    <w:rsid w:val="006A62A9"/>
    <w:rsid w:val="006A64E7"/>
    <w:rsid w:val="006A6630"/>
    <w:rsid w:val="006A66F6"/>
    <w:rsid w:val="006A6700"/>
    <w:rsid w:val="006A6909"/>
    <w:rsid w:val="006B01D8"/>
    <w:rsid w:val="006B14BC"/>
    <w:rsid w:val="006B1933"/>
    <w:rsid w:val="006B22F8"/>
    <w:rsid w:val="006B34B5"/>
    <w:rsid w:val="006B44AD"/>
    <w:rsid w:val="006B4B20"/>
    <w:rsid w:val="006B4C5C"/>
    <w:rsid w:val="006B5106"/>
    <w:rsid w:val="006B70A9"/>
    <w:rsid w:val="006C024E"/>
    <w:rsid w:val="006C3566"/>
    <w:rsid w:val="006C382C"/>
    <w:rsid w:val="006C3F57"/>
    <w:rsid w:val="006C442C"/>
    <w:rsid w:val="006C445E"/>
    <w:rsid w:val="006C4CDA"/>
    <w:rsid w:val="006C509D"/>
    <w:rsid w:val="006C5A68"/>
    <w:rsid w:val="006C6769"/>
    <w:rsid w:val="006C6FAA"/>
    <w:rsid w:val="006C70A9"/>
    <w:rsid w:val="006C75FD"/>
    <w:rsid w:val="006C7D31"/>
    <w:rsid w:val="006D1620"/>
    <w:rsid w:val="006D2248"/>
    <w:rsid w:val="006D2A4D"/>
    <w:rsid w:val="006D2FCE"/>
    <w:rsid w:val="006D347A"/>
    <w:rsid w:val="006D43CC"/>
    <w:rsid w:val="006D4EED"/>
    <w:rsid w:val="006D55A0"/>
    <w:rsid w:val="006D5C84"/>
    <w:rsid w:val="006D728E"/>
    <w:rsid w:val="006D7C96"/>
    <w:rsid w:val="006E0371"/>
    <w:rsid w:val="006E0504"/>
    <w:rsid w:val="006E0F66"/>
    <w:rsid w:val="006E109E"/>
    <w:rsid w:val="006E10C8"/>
    <w:rsid w:val="006E177B"/>
    <w:rsid w:val="006E1C6C"/>
    <w:rsid w:val="006E1CAE"/>
    <w:rsid w:val="006E25C6"/>
    <w:rsid w:val="006E2ADE"/>
    <w:rsid w:val="006E3762"/>
    <w:rsid w:val="006E38E6"/>
    <w:rsid w:val="006E3B27"/>
    <w:rsid w:val="006E3DAE"/>
    <w:rsid w:val="006E52B2"/>
    <w:rsid w:val="006E6138"/>
    <w:rsid w:val="006E734F"/>
    <w:rsid w:val="006F019F"/>
    <w:rsid w:val="006F0AFD"/>
    <w:rsid w:val="006F13B3"/>
    <w:rsid w:val="006F14AC"/>
    <w:rsid w:val="006F1E76"/>
    <w:rsid w:val="006F223B"/>
    <w:rsid w:val="006F2B9F"/>
    <w:rsid w:val="006F2D8B"/>
    <w:rsid w:val="006F33D9"/>
    <w:rsid w:val="006F3ABC"/>
    <w:rsid w:val="006F3BBB"/>
    <w:rsid w:val="006F3F3A"/>
    <w:rsid w:val="006F4671"/>
    <w:rsid w:val="006F46D3"/>
    <w:rsid w:val="006F4E2C"/>
    <w:rsid w:val="006F503D"/>
    <w:rsid w:val="006F51E8"/>
    <w:rsid w:val="006F6ECF"/>
    <w:rsid w:val="0070000D"/>
    <w:rsid w:val="0070009C"/>
    <w:rsid w:val="0070095F"/>
    <w:rsid w:val="00700E09"/>
    <w:rsid w:val="00700E52"/>
    <w:rsid w:val="007012E6"/>
    <w:rsid w:val="00701363"/>
    <w:rsid w:val="0070195F"/>
    <w:rsid w:val="00701B09"/>
    <w:rsid w:val="007023E3"/>
    <w:rsid w:val="00702B20"/>
    <w:rsid w:val="00704420"/>
    <w:rsid w:val="00704484"/>
    <w:rsid w:val="00704D83"/>
    <w:rsid w:val="007053E2"/>
    <w:rsid w:val="00706713"/>
    <w:rsid w:val="00706BCC"/>
    <w:rsid w:val="00706DE7"/>
    <w:rsid w:val="00707751"/>
    <w:rsid w:val="007101A2"/>
    <w:rsid w:val="00710929"/>
    <w:rsid w:val="0071101B"/>
    <w:rsid w:val="007114D1"/>
    <w:rsid w:val="0071156F"/>
    <w:rsid w:val="00712233"/>
    <w:rsid w:val="00712F30"/>
    <w:rsid w:val="00713B63"/>
    <w:rsid w:val="00713F0A"/>
    <w:rsid w:val="00714590"/>
    <w:rsid w:val="007146FE"/>
    <w:rsid w:val="00714925"/>
    <w:rsid w:val="00714C56"/>
    <w:rsid w:val="00715095"/>
    <w:rsid w:val="00716183"/>
    <w:rsid w:val="00716374"/>
    <w:rsid w:val="00716E71"/>
    <w:rsid w:val="00717E90"/>
    <w:rsid w:val="00717F1B"/>
    <w:rsid w:val="00720961"/>
    <w:rsid w:val="00720A6A"/>
    <w:rsid w:val="00722D3A"/>
    <w:rsid w:val="0072451C"/>
    <w:rsid w:val="00725923"/>
    <w:rsid w:val="0072634F"/>
    <w:rsid w:val="00727538"/>
    <w:rsid w:val="007279D9"/>
    <w:rsid w:val="00727C9A"/>
    <w:rsid w:val="00730130"/>
    <w:rsid w:val="00730401"/>
    <w:rsid w:val="00730BAC"/>
    <w:rsid w:val="00731085"/>
    <w:rsid w:val="0073110F"/>
    <w:rsid w:val="00732105"/>
    <w:rsid w:val="00732C91"/>
    <w:rsid w:val="00732E78"/>
    <w:rsid w:val="00732EF9"/>
    <w:rsid w:val="00733026"/>
    <w:rsid w:val="007336D2"/>
    <w:rsid w:val="00734719"/>
    <w:rsid w:val="00735488"/>
    <w:rsid w:val="00735775"/>
    <w:rsid w:val="0073586A"/>
    <w:rsid w:val="00735BA1"/>
    <w:rsid w:val="00735C9B"/>
    <w:rsid w:val="00735DFE"/>
    <w:rsid w:val="00736709"/>
    <w:rsid w:val="007372D3"/>
    <w:rsid w:val="0073742A"/>
    <w:rsid w:val="00740134"/>
    <w:rsid w:val="00740746"/>
    <w:rsid w:val="00741EDD"/>
    <w:rsid w:val="00741FA1"/>
    <w:rsid w:val="007421AF"/>
    <w:rsid w:val="007424AF"/>
    <w:rsid w:val="0074259E"/>
    <w:rsid w:val="0074388E"/>
    <w:rsid w:val="00745300"/>
    <w:rsid w:val="007456EA"/>
    <w:rsid w:val="00746363"/>
    <w:rsid w:val="00746671"/>
    <w:rsid w:val="0074694B"/>
    <w:rsid w:val="00746AE9"/>
    <w:rsid w:val="00750C04"/>
    <w:rsid w:val="00750DA1"/>
    <w:rsid w:val="00750F7A"/>
    <w:rsid w:val="00751DA4"/>
    <w:rsid w:val="00752109"/>
    <w:rsid w:val="00752196"/>
    <w:rsid w:val="00752A61"/>
    <w:rsid w:val="00752C32"/>
    <w:rsid w:val="00753B5C"/>
    <w:rsid w:val="0075409E"/>
    <w:rsid w:val="007568E3"/>
    <w:rsid w:val="00757323"/>
    <w:rsid w:val="007575F2"/>
    <w:rsid w:val="00760106"/>
    <w:rsid w:val="0076045D"/>
    <w:rsid w:val="007606F9"/>
    <w:rsid w:val="00760B34"/>
    <w:rsid w:val="00760E37"/>
    <w:rsid w:val="00760E9A"/>
    <w:rsid w:val="00761B47"/>
    <w:rsid w:val="00761BA2"/>
    <w:rsid w:val="00762902"/>
    <w:rsid w:val="00762C7B"/>
    <w:rsid w:val="00762E70"/>
    <w:rsid w:val="0076445C"/>
    <w:rsid w:val="00765256"/>
    <w:rsid w:val="007653BF"/>
    <w:rsid w:val="007667E3"/>
    <w:rsid w:val="00766EB8"/>
    <w:rsid w:val="007673E9"/>
    <w:rsid w:val="007709B4"/>
    <w:rsid w:val="00771988"/>
    <w:rsid w:val="007722B2"/>
    <w:rsid w:val="0077357C"/>
    <w:rsid w:val="007740DF"/>
    <w:rsid w:val="00775027"/>
    <w:rsid w:val="00775807"/>
    <w:rsid w:val="00775D1B"/>
    <w:rsid w:val="00776314"/>
    <w:rsid w:val="007767CF"/>
    <w:rsid w:val="0077742D"/>
    <w:rsid w:val="00780B58"/>
    <w:rsid w:val="00780F70"/>
    <w:rsid w:val="00781A75"/>
    <w:rsid w:val="00781F3F"/>
    <w:rsid w:val="00781F44"/>
    <w:rsid w:val="0078244C"/>
    <w:rsid w:val="007824F1"/>
    <w:rsid w:val="00782994"/>
    <w:rsid w:val="0078299B"/>
    <w:rsid w:val="00782B63"/>
    <w:rsid w:val="007833C8"/>
    <w:rsid w:val="00783784"/>
    <w:rsid w:val="007839A2"/>
    <w:rsid w:val="00783B88"/>
    <w:rsid w:val="007855BF"/>
    <w:rsid w:val="0078586C"/>
    <w:rsid w:val="00785BE6"/>
    <w:rsid w:val="00786891"/>
    <w:rsid w:val="00786FFA"/>
    <w:rsid w:val="00790570"/>
    <w:rsid w:val="0079075E"/>
    <w:rsid w:val="0079273E"/>
    <w:rsid w:val="007927D7"/>
    <w:rsid w:val="00794BD3"/>
    <w:rsid w:val="00796713"/>
    <w:rsid w:val="0079699A"/>
    <w:rsid w:val="00797A88"/>
    <w:rsid w:val="00797A9F"/>
    <w:rsid w:val="007A0B32"/>
    <w:rsid w:val="007A2E23"/>
    <w:rsid w:val="007A3350"/>
    <w:rsid w:val="007A3B69"/>
    <w:rsid w:val="007A43CB"/>
    <w:rsid w:val="007A537E"/>
    <w:rsid w:val="007A53B9"/>
    <w:rsid w:val="007A5543"/>
    <w:rsid w:val="007A588E"/>
    <w:rsid w:val="007A6A96"/>
    <w:rsid w:val="007A6C61"/>
    <w:rsid w:val="007A7802"/>
    <w:rsid w:val="007B0352"/>
    <w:rsid w:val="007B092B"/>
    <w:rsid w:val="007B0AC0"/>
    <w:rsid w:val="007B15F5"/>
    <w:rsid w:val="007B166B"/>
    <w:rsid w:val="007B1E98"/>
    <w:rsid w:val="007B29DE"/>
    <w:rsid w:val="007B3446"/>
    <w:rsid w:val="007B3454"/>
    <w:rsid w:val="007B371C"/>
    <w:rsid w:val="007B3805"/>
    <w:rsid w:val="007B3CD0"/>
    <w:rsid w:val="007B3FCB"/>
    <w:rsid w:val="007B447D"/>
    <w:rsid w:val="007B60B4"/>
    <w:rsid w:val="007B6D77"/>
    <w:rsid w:val="007C027B"/>
    <w:rsid w:val="007C1263"/>
    <w:rsid w:val="007C36B6"/>
    <w:rsid w:val="007C41AB"/>
    <w:rsid w:val="007C4C1B"/>
    <w:rsid w:val="007C5759"/>
    <w:rsid w:val="007C5AA1"/>
    <w:rsid w:val="007C70BB"/>
    <w:rsid w:val="007C72C4"/>
    <w:rsid w:val="007C738C"/>
    <w:rsid w:val="007C748C"/>
    <w:rsid w:val="007C7AEC"/>
    <w:rsid w:val="007C7CDD"/>
    <w:rsid w:val="007D06CC"/>
    <w:rsid w:val="007D07B3"/>
    <w:rsid w:val="007D206A"/>
    <w:rsid w:val="007D2443"/>
    <w:rsid w:val="007D2C8B"/>
    <w:rsid w:val="007D3732"/>
    <w:rsid w:val="007D46F2"/>
    <w:rsid w:val="007D50A3"/>
    <w:rsid w:val="007D5554"/>
    <w:rsid w:val="007D5740"/>
    <w:rsid w:val="007D5C72"/>
    <w:rsid w:val="007D6614"/>
    <w:rsid w:val="007D7321"/>
    <w:rsid w:val="007D76A2"/>
    <w:rsid w:val="007D7DFD"/>
    <w:rsid w:val="007E0DB7"/>
    <w:rsid w:val="007E112F"/>
    <w:rsid w:val="007E13CD"/>
    <w:rsid w:val="007E1BDC"/>
    <w:rsid w:val="007E38D2"/>
    <w:rsid w:val="007E3993"/>
    <w:rsid w:val="007E41E8"/>
    <w:rsid w:val="007E53A1"/>
    <w:rsid w:val="007E66D6"/>
    <w:rsid w:val="007E6C6B"/>
    <w:rsid w:val="007E6FA7"/>
    <w:rsid w:val="007E730F"/>
    <w:rsid w:val="007E74C5"/>
    <w:rsid w:val="007F04F8"/>
    <w:rsid w:val="007F06F0"/>
    <w:rsid w:val="007F091E"/>
    <w:rsid w:val="007F0FB3"/>
    <w:rsid w:val="007F1196"/>
    <w:rsid w:val="007F147C"/>
    <w:rsid w:val="007F169A"/>
    <w:rsid w:val="007F1DA9"/>
    <w:rsid w:val="007F245C"/>
    <w:rsid w:val="007F366A"/>
    <w:rsid w:val="007F36EB"/>
    <w:rsid w:val="007F504C"/>
    <w:rsid w:val="007F521E"/>
    <w:rsid w:val="007F587E"/>
    <w:rsid w:val="007F726E"/>
    <w:rsid w:val="007F7551"/>
    <w:rsid w:val="007F7752"/>
    <w:rsid w:val="007F7EBB"/>
    <w:rsid w:val="00800566"/>
    <w:rsid w:val="0080363B"/>
    <w:rsid w:val="008037B6"/>
    <w:rsid w:val="00803AC1"/>
    <w:rsid w:val="00804604"/>
    <w:rsid w:val="00804944"/>
    <w:rsid w:val="008073A1"/>
    <w:rsid w:val="00811197"/>
    <w:rsid w:val="00811385"/>
    <w:rsid w:val="00812888"/>
    <w:rsid w:val="00812A45"/>
    <w:rsid w:val="008130F8"/>
    <w:rsid w:val="00813CE2"/>
    <w:rsid w:val="00814124"/>
    <w:rsid w:val="0081430E"/>
    <w:rsid w:val="008154B5"/>
    <w:rsid w:val="0081599A"/>
    <w:rsid w:val="0081621D"/>
    <w:rsid w:val="00816B57"/>
    <w:rsid w:val="00816B7C"/>
    <w:rsid w:val="0081788A"/>
    <w:rsid w:val="00817D34"/>
    <w:rsid w:val="0082038D"/>
    <w:rsid w:val="0082090C"/>
    <w:rsid w:val="00821027"/>
    <w:rsid w:val="0082112E"/>
    <w:rsid w:val="00821DCB"/>
    <w:rsid w:val="0082212A"/>
    <w:rsid w:val="00823A88"/>
    <w:rsid w:val="00824D60"/>
    <w:rsid w:val="00825291"/>
    <w:rsid w:val="008256EF"/>
    <w:rsid w:val="00826A9D"/>
    <w:rsid w:val="00827519"/>
    <w:rsid w:val="00827520"/>
    <w:rsid w:val="008276C1"/>
    <w:rsid w:val="008300A1"/>
    <w:rsid w:val="00830186"/>
    <w:rsid w:val="008305AA"/>
    <w:rsid w:val="00830B92"/>
    <w:rsid w:val="00830D81"/>
    <w:rsid w:val="00830E77"/>
    <w:rsid w:val="00830E8D"/>
    <w:rsid w:val="00830F20"/>
    <w:rsid w:val="00831AED"/>
    <w:rsid w:val="00834939"/>
    <w:rsid w:val="00834ED6"/>
    <w:rsid w:val="008351D8"/>
    <w:rsid w:val="00836811"/>
    <w:rsid w:val="00836D47"/>
    <w:rsid w:val="00836EE4"/>
    <w:rsid w:val="00837638"/>
    <w:rsid w:val="0084047E"/>
    <w:rsid w:val="00840F4C"/>
    <w:rsid w:val="0084101C"/>
    <w:rsid w:val="00841B4D"/>
    <w:rsid w:val="00842C96"/>
    <w:rsid w:val="00843D3C"/>
    <w:rsid w:val="00844DB3"/>
    <w:rsid w:val="0084671F"/>
    <w:rsid w:val="00846B24"/>
    <w:rsid w:val="00846E16"/>
    <w:rsid w:val="00847750"/>
    <w:rsid w:val="00850448"/>
    <w:rsid w:val="00850C3B"/>
    <w:rsid w:val="0085131D"/>
    <w:rsid w:val="008517C1"/>
    <w:rsid w:val="00851EA7"/>
    <w:rsid w:val="008527A0"/>
    <w:rsid w:val="008529A2"/>
    <w:rsid w:val="00852E15"/>
    <w:rsid w:val="00853252"/>
    <w:rsid w:val="008533C7"/>
    <w:rsid w:val="00853881"/>
    <w:rsid w:val="00853EB9"/>
    <w:rsid w:val="0085477E"/>
    <w:rsid w:val="00855170"/>
    <w:rsid w:val="008555DE"/>
    <w:rsid w:val="0085573E"/>
    <w:rsid w:val="00856467"/>
    <w:rsid w:val="00856BED"/>
    <w:rsid w:val="00856E19"/>
    <w:rsid w:val="00857567"/>
    <w:rsid w:val="008608FB"/>
    <w:rsid w:val="008609CD"/>
    <w:rsid w:val="00860E2D"/>
    <w:rsid w:val="008613A6"/>
    <w:rsid w:val="00861D8A"/>
    <w:rsid w:val="0086313C"/>
    <w:rsid w:val="00863208"/>
    <w:rsid w:val="0086382C"/>
    <w:rsid w:val="00864EEF"/>
    <w:rsid w:val="00864F03"/>
    <w:rsid w:val="00865BE8"/>
    <w:rsid w:val="00866318"/>
    <w:rsid w:val="0086675C"/>
    <w:rsid w:val="00867D42"/>
    <w:rsid w:val="00867DA9"/>
    <w:rsid w:val="00870123"/>
    <w:rsid w:val="00870B75"/>
    <w:rsid w:val="0087129A"/>
    <w:rsid w:val="00871EB6"/>
    <w:rsid w:val="008732BD"/>
    <w:rsid w:val="0087360F"/>
    <w:rsid w:val="00873621"/>
    <w:rsid w:val="00873D06"/>
    <w:rsid w:val="00873DA9"/>
    <w:rsid w:val="00874B30"/>
    <w:rsid w:val="00874CB5"/>
    <w:rsid w:val="00875030"/>
    <w:rsid w:val="0087524A"/>
    <w:rsid w:val="008754D4"/>
    <w:rsid w:val="008769F9"/>
    <w:rsid w:val="00877281"/>
    <w:rsid w:val="00877E35"/>
    <w:rsid w:val="0088023F"/>
    <w:rsid w:val="00880335"/>
    <w:rsid w:val="00880423"/>
    <w:rsid w:val="00880910"/>
    <w:rsid w:val="0088099F"/>
    <w:rsid w:val="00881E05"/>
    <w:rsid w:val="0088236B"/>
    <w:rsid w:val="008824AD"/>
    <w:rsid w:val="008830B3"/>
    <w:rsid w:val="0088460C"/>
    <w:rsid w:val="0088671A"/>
    <w:rsid w:val="00890936"/>
    <w:rsid w:val="00890FDD"/>
    <w:rsid w:val="00892490"/>
    <w:rsid w:val="00892595"/>
    <w:rsid w:val="0089265D"/>
    <w:rsid w:val="00892925"/>
    <w:rsid w:val="00892C3C"/>
    <w:rsid w:val="00893824"/>
    <w:rsid w:val="00893B62"/>
    <w:rsid w:val="00893BB3"/>
    <w:rsid w:val="00894BB8"/>
    <w:rsid w:val="00894D97"/>
    <w:rsid w:val="0089543C"/>
    <w:rsid w:val="00895546"/>
    <w:rsid w:val="008956A3"/>
    <w:rsid w:val="00896698"/>
    <w:rsid w:val="00896D39"/>
    <w:rsid w:val="00897589"/>
    <w:rsid w:val="0089759B"/>
    <w:rsid w:val="008A00CF"/>
    <w:rsid w:val="008A1774"/>
    <w:rsid w:val="008A1C45"/>
    <w:rsid w:val="008A2152"/>
    <w:rsid w:val="008A2398"/>
    <w:rsid w:val="008A239E"/>
    <w:rsid w:val="008A2568"/>
    <w:rsid w:val="008A34B9"/>
    <w:rsid w:val="008A3A77"/>
    <w:rsid w:val="008A3CB2"/>
    <w:rsid w:val="008A4265"/>
    <w:rsid w:val="008A49A8"/>
    <w:rsid w:val="008A6052"/>
    <w:rsid w:val="008A7D52"/>
    <w:rsid w:val="008B01BB"/>
    <w:rsid w:val="008B07C1"/>
    <w:rsid w:val="008B0D85"/>
    <w:rsid w:val="008B1680"/>
    <w:rsid w:val="008B16D9"/>
    <w:rsid w:val="008B17BB"/>
    <w:rsid w:val="008B259C"/>
    <w:rsid w:val="008B274D"/>
    <w:rsid w:val="008B27D3"/>
    <w:rsid w:val="008B2A69"/>
    <w:rsid w:val="008B3C44"/>
    <w:rsid w:val="008B409C"/>
    <w:rsid w:val="008B5021"/>
    <w:rsid w:val="008B58B9"/>
    <w:rsid w:val="008B6B1C"/>
    <w:rsid w:val="008B7F81"/>
    <w:rsid w:val="008C0542"/>
    <w:rsid w:val="008C0C51"/>
    <w:rsid w:val="008C0E4A"/>
    <w:rsid w:val="008C28AA"/>
    <w:rsid w:val="008C3FCC"/>
    <w:rsid w:val="008C49B2"/>
    <w:rsid w:val="008C5833"/>
    <w:rsid w:val="008C5AA2"/>
    <w:rsid w:val="008C5E5F"/>
    <w:rsid w:val="008C5F96"/>
    <w:rsid w:val="008C6508"/>
    <w:rsid w:val="008C65FD"/>
    <w:rsid w:val="008C6A56"/>
    <w:rsid w:val="008C6DB9"/>
    <w:rsid w:val="008C7488"/>
    <w:rsid w:val="008D0304"/>
    <w:rsid w:val="008D06A0"/>
    <w:rsid w:val="008D0792"/>
    <w:rsid w:val="008D07BB"/>
    <w:rsid w:val="008D0CFE"/>
    <w:rsid w:val="008D0F27"/>
    <w:rsid w:val="008D1B4B"/>
    <w:rsid w:val="008D2FB0"/>
    <w:rsid w:val="008D3756"/>
    <w:rsid w:val="008D4081"/>
    <w:rsid w:val="008D66A7"/>
    <w:rsid w:val="008D6C11"/>
    <w:rsid w:val="008D72C5"/>
    <w:rsid w:val="008E1436"/>
    <w:rsid w:val="008E1B9B"/>
    <w:rsid w:val="008E1CF9"/>
    <w:rsid w:val="008E22E1"/>
    <w:rsid w:val="008E2B3F"/>
    <w:rsid w:val="008E3988"/>
    <w:rsid w:val="008E3D54"/>
    <w:rsid w:val="008E3FD6"/>
    <w:rsid w:val="008E4E5D"/>
    <w:rsid w:val="008E5140"/>
    <w:rsid w:val="008E51DE"/>
    <w:rsid w:val="008E527F"/>
    <w:rsid w:val="008E5E99"/>
    <w:rsid w:val="008E6C40"/>
    <w:rsid w:val="008E7AA7"/>
    <w:rsid w:val="008F0221"/>
    <w:rsid w:val="008F160E"/>
    <w:rsid w:val="008F1B11"/>
    <w:rsid w:val="008F245C"/>
    <w:rsid w:val="008F2679"/>
    <w:rsid w:val="008F2841"/>
    <w:rsid w:val="008F2F49"/>
    <w:rsid w:val="008F3468"/>
    <w:rsid w:val="008F37D2"/>
    <w:rsid w:val="008F3965"/>
    <w:rsid w:val="008F40E8"/>
    <w:rsid w:val="008F41B7"/>
    <w:rsid w:val="008F465B"/>
    <w:rsid w:val="008F46DC"/>
    <w:rsid w:val="008F5319"/>
    <w:rsid w:val="008F582C"/>
    <w:rsid w:val="008F69DF"/>
    <w:rsid w:val="008F71B8"/>
    <w:rsid w:val="008F7C53"/>
    <w:rsid w:val="0090022C"/>
    <w:rsid w:val="00901E1A"/>
    <w:rsid w:val="009024EB"/>
    <w:rsid w:val="00902F28"/>
    <w:rsid w:val="00903372"/>
    <w:rsid w:val="0090350A"/>
    <w:rsid w:val="009035E6"/>
    <w:rsid w:val="00903787"/>
    <w:rsid w:val="009039A6"/>
    <w:rsid w:val="00903F32"/>
    <w:rsid w:val="0090488D"/>
    <w:rsid w:val="00904EBF"/>
    <w:rsid w:val="0090502D"/>
    <w:rsid w:val="009053B1"/>
    <w:rsid w:val="00905959"/>
    <w:rsid w:val="00905963"/>
    <w:rsid w:val="0090650D"/>
    <w:rsid w:val="0091025F"/>
    <w:rsid w:val="009105FB"/>
    <w:rsid w:val="0091102C"/>
    <w:rsid w:val="0091128A"/>
    <w:rsid w:val="0091243B"/>
    <w:rsid w:val="009129DB"/>
    <w:rsid w:val="00912AE7"/>
    <w:rsid w:val="00912EFD"/>
    <w:rsid w:val="009133EF"/>
    <w:rsid w:val="0091471F"/>
    <w:rsid w:val="009161AA"/>
    <w:rsid w:val="00916F3B"/>
    <w:rsid w:val="009172D9"/>
    <w:rsid w:val="00920109"/>
    <w:rsid w:val="00920265"/>
    <w:rsid w:val="00920BC1"/>
    <w:rsid w:val="00921503"/>
    <w:rsid w:val="009223E5"/>
    <w:rsid w:val="00922E07"/>
    <w:rsid w:val="009230A6"/>
    <w:rsid w:val="0092315F"/>
    <w:rsid w:val="009254F3"/>
    <w:rsid w:val="00925D2A"/>
    <w:rsid w:val="00925DCD"/>
    <w:rsid w:val="00926049"/>
    <w:rsid w:val="009266A1"/>
    <w:rsid w:val="00927261"/>
    <w:rsid w:val="009276EE"/>
    <w:rsid w:val="00927F6E"/>
    <w:rsid w:val="00930DC2"/>
    <w:rsid w:val="00931B3D"/>
    <w:rsid w:val="00931ECD"/>
    <w:rsid w:val="0093201C"/>
    <w:rsid w:val="0093223A"/>
    <w:rsid w:val="00933711"/>
    <w:rsid w:val="009338BE"/>
    <w:rsid w:val="00933D13"/>
    <w:rsid w:val="00933F6E"/>
    <w:rsid w:val="009345A0"/>
    <w:rsid w:val="00934F10"/>
    <w:rsid w:val="00934FF6"/>
    <w:rsid w:val="009354F1"/>
    <w:rsid w:val="0093569B"/>
    <w:rsid w:val="00935823"/>
    <w:rsid w:val="00937837"/>
    <w:rsid w:val="009378E8"/>
    <w:rsid w:val="00940648"/>
    <w:rsid w:val="00941390"/>
    <w:rsid w:val="00942959"/>
    <w:rsid w:val="00943C04"/>
    <w:rsid w:val="00943F48"/>
    <w:rsid w:val="009450BA"/>
    <w:rsid w:val="0094534A"/>
    <w:rsid w:val="0094575D"/>
    <w:rsid w:val="00945E5A"/>
    <w:rsid w:val="0094612E"/>
    <w:rsid w:val="009468C5"/>
    <w:rsid w:val="009502DD"/>
    <w:rsid w:val="009504D7"/>
    <w:rsid w:val="00950A12"/>
    <w:rsid w:val="0095100B"/>
    <w:rsid w:val="00951FF0"/>
    <w:rsid w:val="009521DC"/>
    <w:rsid w:val="009524D8"/>
    <w:rsid w:val="00952CEE"/>
    <w:rsid w:val="00953478"/>
    <w:rsid w:val="009544B5"/>
    <w:rsid w:val="00954AD7"/>
    <w:rsid w:val="009573EE"/>
    <w:rsid w:val="00957FD7"/>
    <w:rsid w:val="00960CAC"/>
    <w:rsid w:val="009619C2"/>
    <w:rsid w:val="0096213B"/>
    <w:rsid w:val="00962412"/>
    <w:rsid w:val="00963970"/>
    <w:rsid w:val="00964580"/>
    <w:rsid w:val="009650CB"/>
    <w:rsid w:val="0096621D"/>
    <w:rsid w:val="0096761C"/>
    <w:rsid w:val="00967875"/>
    <w:rsid w:val="00967DF0"/>
    <w:rsid w:val="00970FD2"/>
    <w:rsid w:val="009719D7"/>
    <w:rsid w:val="009733C9"/>
    <w:rsid w:val="0097376A"/>
    <w:rsid w:val="009738A6"/>
    <w:rsid w:val="0097396E"/>
    <w:rsid w:val="00973BB1"/>
    <w:rsid w:val="00973BEF"/>
    <w:rsid w:val="00974FB5"/>
    <w:rsid w:val="00975069"/>
    <w:rsid w:val="00975083"/>
    <w:rsid w:val="009764EF"/>
    <w:rsid w:val="0098014E"/>
    <w:rsid w:val="0098069C"/>
    <w:rsid w:val="0098105B"/>
    <w:rsid w:val="009810D7"/>
    <w:rsid w:val="00981E0E"/>
    <w:rsid w:val="00981E3C"/>
    <w:rsid w:val="00982E97"/>
    <w:rsid w:val="00982EF2"/>
    <w:rsid w:val="00983EDC"/>
    <w:rsid w:val="009841AD"/>
    <w:rsid w:val="00984ABB"/>
    <w:rsid w:val="00984C33"/>
    <w:rsid w:val="00985B4A"/>
    <w:rsid w:val="00985E21"/>
    <w:rsid w:val="009864E4"/>
    <w:rsid w:val="00986741"/>
    <w:rsid w:val="00986A88"/>
    <w:rsid w:val="00987F0B"/>
    <w:rsid w:val="00991104"/>
    <w:rsid w:val="00991D0C"/>
    <w:rsid w:val="009929FA"/>
    <w:rsid w:val="00993069"/>
    <w:rsid w:val="00993775"/>
    <w:rsid w:val="009937C2"/>
    <w:rsid w:val="00994426"/>
    <w:rsid w:val="00994592"/>
    <w:rsid w:val="00994706"/>
    <w:rsid w:val="00994E90"/>
    <w:rsid w:val="009957E0"/>
    <w:rsid w:val="00995E90"/>
    <w:rsid w:val="00996415"/>
    <w:rsid w:val="00996C48"/>
    <w:rsid w:val="009971B8"/>
    <w:rsid w:val="0099795F"/>
    <w:rsid w:val="009A02CB"/>
    <w:rsid w:val="009A0BC8"/>
    <w:rsid w:val="009A15F4"/>
    <w:rsid w:val="009A21F5"/>
    <w:rsid w:val="009A241C"/>
    <w:rsid w:val="009A2731"/>
    <w:rsid w:val="009A2860"/>
    <w:rsid w:val="009A28E9"/>
    <w:rsid w:val="009A2E19"/>
    <w:rsid w:val="009A30CE"/>
    <w:rsid w:val="009A3D6E"/>
    <w:rsid w:val="009A3E42"/>
    <w:rsid w:val="009A5CE1"/>
    <w:rsid w:val="009A6BAB"/>
    <w:rsid w:val="009A7A20"/>
    <w:rsid w:val="009B0000"/>
    <w:rsid w:val="009B0264"/>
    <w:rsid w:val="009B0690"/>
    <w:rsid w:val="009B06BD"/>
    <w:rsid w:val="009B06EC"/>
    <w:rsid w:val="009B1137"/>
    <w:rsid w:val="009B19BA"/>
    <w:rsid w:val="009B1D1F"/>
    <w:rsid w:val="009B1EA0"/>
    <w:rsid w:val="009B21A6"/>
    <w:rsid w:val="009B4879"/>
    <w:rsid w:val="009B78F5"/>
    <w:rsid w:val="009B7EF7"/>
    <w:rsid w:val="009C0327"/>
    <w:rsid w:val="009C19D5"/>
    <w:rsid w:val="009C1BBE"/>
    <w:rsid w:val="009C2B79"/>
    <w:rsid w:val="009C3448"/>
    <w:rsid w:val="009C37BA"/>
    <w:rsid w:val="009C3EF7"/>
    <w:rsid w:val="009C5472"/>
    <w:rsid w:val="009C5703"/>
    <w:rsid w:val="009C5C59"/>
    <w:rsid w:val="009C64AD"/>
    <w:rsid w:val="009C6675"/>
    <w:rsid w:val="009D0F1F"/>
    <w:rsid w:val="009D312E"/>
    <w:rsid w:val="009D3232"/>
    <w:rsid w:val="009D42C4"/>
    <w:rsid w:val="009D5A4D"/>
    <w:rsid w:val="009D5EDA"/>
    <w:rsid w:val="009D6B62"/>
    <w:rsid w:val="009D7457"/>
    <w:rsid w:val="009D750E"/>
    <w:rsid w:val="009D76DA"/>
    <w:rsid w:val="009D7980"/>
    <w:rsid w:val="009D7C53"/>
    <w:rsid w:val="009E13F1"/>
    <w:rsid w:val="009E233A"/>
    <w:rsid w:val="009E38F3"/>
    <w:rsid w:val="009E4716"/>
    <w:rsid w:val="009E4BBB"/>
    <w:rsid w:val="009E4F23"/>
    <w:rsid w:val="009E51B7"/>
    <w:rsid w:val="009E5EB4"/>
    <w:rsid w:val="009E7553"/>
    <w:rsid w:val="009F09AF"/>
    <w:rsid w:val="009F0C52"/>
    <w:rsid w:val="009F1BD0"/>
    <w:rsid w:val="009F1C39"/>
    <w:rsid w:val="009F2613"/>
    <w:rsid w:val="009F41FD"/>
    <w:rsid w:val="009F49EF"/>
    <w:rsid w:val="009F4E6F"/>
    <w:rsid w:val="009F5473"/>
    <w:rsid w:val="009F6BB2"/>
    <w:rsid w:val="00A013AC"/>
    <w:rsid w:val="00A0143B"/>
    <w:rsid w:val="00A019E9"/>
    <w:rsid w:val="00A01B94"/>
    <w:rsid w:val="00A020DC"/>
    <w:rsid w:val="00A021C9"/>
    <w:rsid w:val="00A02726"/>
    <w:rsid w:val="00A028C5"/>
    <w:rsid w:val="00A02F5C"/>
    <w:rsid w:val="00A0330C"/>
    <w:rsid w:val="00A04BCE"/>
    <w:rsid w:val="00A05099"/>
    <w:rsid w:val="00A050D5"/>
    <w:rsid w:val="00A05E05"/>
    <w:rsid w:val="00A0683C"/>
    <w:rsid w:val="00A07AA9"/>
    <w:rsid w:val="00A10AEF"/>
    <w:rsid w:val="00A111FF"/>
    <w:rsid w:val="00A112E1"/>
    <w:rsid w:val="00A113A2"/>
    <w:rsid w:val="00A12551"/>
    <w:rsid w:val="00A136FD"/>
    <w:rsid w:val="00A1396B"/>
    <w:rsid w:val="00A13CE9"/>
    <w:rsid w:val="00A1402B"/>
    <w:rsid w:val="00A141B7"/>
    <w:rsid w:val="00A146D1"/>
    <w:rsid w:val="00A14C18"/>
    <w:rsid w:val="00A14CE7"/>
    <w:rsid w:val="00A14EB8"/>
    <w:rsid w:val="00A1587B"/>
    <w:rsid w:val="00A16668"/>
    <w:rsid w:val="00A20BE9"/>
    <w:rsid w:val="00A20C04"/>
    <w:rsid w:val="00A2178C"/>
    <w:rsid w:val="00A22025"/>
    <w:rsid w:val="00A221B4"/>
    <w:rsid w:val="00A227B8"/>
    <w:rsid w:val="00A22FCE"/>
    <w:rsid w:val="00A23FD3"/>
    <w:rsid w:val="00A24C2A"/>
    <w:rsid w:val="00A24FC8"/>
    <w:rsid w:val="00A257FB"/>
    <w:rsid w:val="00A25E4D"/>
    <w:rsid w:val="00A261C7"/>
    <w:rsid w:val="00A26A42"/>
    <w:rsid w:val="00A27282"/>
    <w:rsid w:val="00A2798A"/>
    <w:rsid w:val="00A27CEA"/>
    <w:rsid w:val="00A31C03"/>
    <w:rsid w:val="00A31F57"/>
    <w:rsid w:val="00A321BA"/>
    <w:rsid w:val="00A32CF3"/>
    <w:rsid w:val="00A343E4"/>
    <w:rsid w:val="00A3470E"/>
    <w:rsid w:val="00A34A4D"/>
    <w:rsid w:val="00A34C7A"/>
    <w:rsid w:val="00A355A1"/>
    <w:rsid w:val="00A3562A"/>
    <w:rsid w:val="00A37245"/>
    <w:rsid w:val="00A37B1E"/>
    <w:rsid w:val="00A403E8"/>
    <w:rsid w:val="00A40721"/>
    <w:rsid w:val="00A40EB1"/>
    <w:rsid w:val="00A40F3C"/>
    <w:rsid w:val="00A4133E"/>
    <w:rsid w:val="00A41569"/>
    <w:rsid w:val="00A419A4"/>
    <w:rsid w:val="00A41E6C"/>
    <w:rsid w:val="00A42460"/>
    <w:rsid w:val="00A42785"/>
    <w:rsid w:val="00A42F14"/>
    <w:rsid w:val="00A4320C"/>
    <w:rsid w:val="00A4479E"/>
    <w:rsid w:val="00A44CF3"/>
    <w:rsid w:val="00A467F4"/>
    <w:rsid w:val="00A470BE"/>
    <w:rsid w:val="00A4729F"/>
    <w:rsid w:val="00A473C8"/>
    <w:rsid w:val="00A511AA"/>
    <w:rsid w:val="00A5144A"/>
    <w:rsid w:val="00A522B8"/>
    <w:rsid w:val="00A5249E"/>
    <w:rsid w:val="00A52754"/>
    <w:rsid w:val="00A528C4"/>
    <w:rsid w:val="00A54C96"/>
    <w:rsid w:val="00A558A4"/>
    <w:rsid w:val="00A56948"/>
    <w:rsid w:val="00A56CD4"/>
    <w:rsid w:val="00A576F1"/>
    <w:rsid w:val="00A57900"/>
    <w:rsid w:val="00A57FA3"/>
    <w:rsid w:val="00A60BAB"/>
    <w:rsid w:val="00A637BE"/>
    <w:rsid w:val="00A63D9E"/>
    <w:rsid w:val="00A63DD6"/>
    <w:rsid w:val="00A64753"/>
    <w:rsid w:val="00A649EF"/>
    <w:rsid w:val="00A64F85"/>
    <w:rsid w:val="00A660F4"/>
    <w:rsid w:val="00A700A9"/>
    <w:rsid w:val="00A70454"/>
    <w:rsid w:val="00A70706"/>
    <w:rsid w:val="00A717E0"/>
    <w:rsid w:val="00A73390"/>
    <w:rsid w:val="00A743BF"/>
    <w:rsid w:val="00A75A7B"/>
    <w:rsid w:val="00A75F30"/>
    <w:rsid w:val="00A76153"/>
    <w:rsid w:val="00A76184"/>
    <w:rsid w:val="00A762DE"/>
    <w:rsid w:val="00A766EA"/>
    <w:rsid w:val="00A80749"/>
    <w:rsid w:val="00A80B7B"/>
    <w:rsid w:val="00A80C72"/>
    <w:rsid w:val="00A81E23"/>
    <w:rsid w:val="00A82C9A"/>
    <w:rsid w:val="00A82D5A"/>
    <w:rsid w:val="00A8333E"/>
    <w:rsid w:val="00A838AA"/>
    <w:rsid w:val="00A83B60"/>
    <w:rsid w:val="00A83F16"/>
    <w:rsid w:val="00A85190"/>
    <w:rsid w:val="00A85298"/>
    <w:rsid w:val="00A85BFE"/>
    <w:rsid w:val="00A87CB4"/>
    <w:rsid w:val="00A9046A"/>
    <w:rsid w:val="00A904B9"/>
    <w:rsid w:val="00A90654"/>
    <w:rsid w:val="00A90883"/>
    <w:rsid w:val="00A90CB1"/>
    <w:rsid w:val="00A91227"/>
    <w:rsid w:val="00A91298"/>
    <w:rsid w:val="00A928E7"/>
    <w:rsid w:val="00A9293D"/>
    <w:rsid w:val="00A93905"/>
    <w:rsid w:val="00A93EFA"/>
    <w:rsid w:val="00A94879"/>
    <w:rsid w:val="00A94AA2"/>
    <w:rsid w:val="00A94B76"/>
    <w:rsid w:val="00A96533"/>
    <w:rsid w:val="00A96A02"/>
    <w:rsid w:val="00A97F4F"/>
    <w:rsid w:val="00AA034B"/>
    <w:rsid w:val="00AA0E9A"/>
    <w:rsid w:val="00AA1E38"/>
    <w:rsid w:val="00AA2B39"/>
    <w:rsid w:val="00AA2DAE"/>
    <w:rsid w:val="00AA3509"/>
    <w:rsid w:val="00AA3B46"/>
    <w:rsid w:val="00AA3C1B"/>
    <w:rsid w:val="00AA3D99"/>
    <w:rsid w:val="00AA41BC"/>
    <w:rsid w:val="00AA4984"/>
    <w:rsid w:val="00AA4A59"/>
    <w:rsid w:val="00AA5DD9"/>
    <w:rsid w:val="00AA63EC"/>
    <w:rsid w:val="00AA7936"/>
    <w:rsid w:val="00AB07B4"/>
    <w:rsid w:val="00AB175C"/>
    <w:rsid w:val="00AB1E27"/>
    <w:rsid w:val="00AB2045"/>
    <w:rsid w:val="00AB2758"/>
    <w:rsid w:val="00AB289A"/>
    <w:rsid w:val="00AB3E7F"/>
    <w:rsid w:val="00AB53BC"/>
    <w:rsid w:val="00AB55C5"/>
    <w:rsid w:val="00AB5CBC"/>
    <w:rsid w:val="00AB62C0"/>
    <w:rsid w:val="00AB6E0D"/>
    <w:rsid w:val="00AB7189"/>
    <w:rsid w:val="00AB7A6A"/>
    <w:rsid w:val="00AC000E"/>
    <w:rsid w:val="00AC1496"/>
    <w:rsid w:val="00AC193B"/>
    <w:rsid w:val="00AC26D0"/>
    <w:rsid w:val="00AC2A45"/>
    <w:rsid w:val="00AC2BA9"/>
    <w:rsid w:val="00AC35C7"/>
    <w:rsid w:val="00AC4A7F"/>
    <w:rsid w:val="00AC4E78"/>
    <w:rsid w:val="00AC5467"/>
    <w:rsid w:val="00AC60FB"/>
    <w:rsid w:val="00AC72D0"/>
    <w:rsid w:val="00AC78F2"/>
    <w:rsid w:val="00AD018D"/>
    <w:rsid w:val="00AD0462"/>
    <w:rsid w:val="00AD05DC"/>
    <w:rsid w:val="00AD0BB4"/>
    <w:rsid w:val="00AD0DAA"/>
    <w:rsid w:val="00AD1DC7"/>
    <w:rsid w:val="00AD29AD"/>
    <w:rsid w:val="00AD2A09"/>
    <w:rsid w:val="00AD30A5"/>
    <w:rsid w:val="00AD31F0"/>
    <w:rsid w:val="00AD4CCE"/>
    <w:rsid w:val="00AD514F"/>
    <w:rsid w:val="00AD5360"/>
    <w:rsid w:val="00AD6599"/>
    <w:rsid w:val="00AD6A8C"/>
    <w:rsid w:val="00AD7807"/>
    <w:rsid w:val="00AD7810"/>
    <w:rsid w:val="00AD7ADF"/>
    <w:rsid w:val="00AE02FC"/>
    <w:rsid w:val="00AE0F72"/>
    <w:rsid w:val="00AE143D"/>
    <w:rsid w:val="00AE2246"/>
    <w:rsid w:val="00AE4191"/>
    <w:rsid w:val="00AE4256"/>
    <w:rsid w:val="00AE4DF3"/>
    <w:rsid w:val="00AE58B4"/>
    <w:rsid w:val="00AE5B49"/>
    <w:rsid w:val="00AE6384"/>
    <w:rsid w:val="00AE653B"/>
    <w:rsid w:val="00AE6A8D"/>
    <w:rsid w:val="00AE72A1"/>
    <w:rsid w:val="00AE76A7"/>
    <w:rsid w:val="00AE778F"/>
    <w:rsid w:val="00AE7997"/>
    <w:rsid w:val="00AF0182"/>
    <w:rsid w:val="00AF0873"/>
    <w:rsid w:val="00AF1723"/>
    <w:rsid w:val="00AF22BD"/>
    <w:rsid w:val="00AF24B3"/>
    <w:rsid w:val="00AF3F74"/>
    <w:rsid w:val="00AF5231"/>
    <w:rsid w:val="00AF7E31"/>
    <w:rsid w:val="00B008A0"/>
    <w:rsid w:val="00B01194"/>
    <w:rsid w:val="00B0119D"/>
    <w:rsid w:val="00B01A6C"/>
    <w:rsid w:val="00B021AF"/>
    <w:rsid w:val="00B02496"/>
    <w:rsid w:val="00B028FE"/>
    <w:rsid w:val="00B0370C"/>
    <w:rsid w:val="00B03A94"/>
    <w:rsid w:val="00B03C4C"/>
    <w:rsid w:val="00B043E6"/>
    <w:rsid w:val="00B048FE"/>
    <w:rsid w:val="00B04B78"/>
    <w:rsid w:val="00B0538F"/>
    <w:rsid w:val="00B0559A"/>
    <w:rsid w:val="00B05E42"/>
    <w:rsid w:val="00B05F2C"/>
    <w:rsid w:val="00B06DFD"/>
    <w:rsid w:val="00B07F93"/>
    <w:rsid w:val="00B10925"/>
    <w:rsid w:val="00B10BAB"/>
    <w:rsid w:val="00B119E5"/>
    <w:rsid w:val="00B1282C"/>
    <w:rsid w:val="00B12FDC"/>
    <w:rsid w:val="00B1337C"/>
    <w:rsid w:val="00B13B03"/>
    <w:rsid w:val="00B13CCD"/>
    <w:rsid w:val="00B146ED"/>
    <w:rsid w:val="00B154A2"/>
    <w:rsid w:val="00B15C5A"/>
    <w:rsid w:val="00B15CEA"/>
    <w:rsid w:val="00B16491"/>
    <w:rsid w:val="00B16635"/>
    <w:rsid w:val="00B17703"/>
    <w:rsid w:val="00B17798"/>
    <w:rsid w:val="00B17B55"/>
    <w:rsid w:val="00B202A1"/>
    <w:rsid w:val="00B20789"/>
    <w:rsid w:val="00B20DAA"/>
    <w:rsid w:val="00B215B7"/>
    <w:rsid w:val="00B21AE9"/>
    <w:rsid w:val="00B22697"/>
    <w:rsid w:val="00B226EC"/>
    <w:rsid w:val="00B23EDF"/>
    <w:rsid w:val="00B241A5"/>
    <w:rsid w:val="00B248BC"/>
    <w:rsid w:val="00B258E0"/>
    <w:rsid w:val="00B2686F"/>
    <w:rsid w:val="00B26E5D"/>
    <w:rsid w:val="00B3124D"/>
    <w:rsid w:val="00B313BD"/>
    <w:rsid w:val="00B31589"/>
    <w:rsid w:val="00B328F0"/>
    <w:rsid w:val="00B32A42"/>
    <w:rsid w:val="00B32DFC"/>
    <w:rsid w:val="00B32E44"/>
    <w:rsid w:val="00B33298"/>
    <w:rsid w:val="00B34BD4"/>
    <w:rsid w:val="00B34DA6"/>
    <w:rsid w:val="00B36413"/>
    <w:rsid w:val="00B40123"/>
    <w:rsid w:val="00B40503"/>
    <w:rsid w:val="00B40FBD"/>
    <w:rsid w:val="00B415D9"/>
    <w:rsid w:val="00B41A86"/>
    <w:rsid w:val="00B430FB"/>
    <w:rsid w:val="00B44273"/>
    <w:rsid w:val="00B44E62"/>
    <w:rsid w:val="00B44F1E"/>
    <w:rsid w:val="00B45983"/>
    <w:rsid w:val="00B45CFC"/>
    <w:rsid w:val="00B46332"/>
    <w:rsid w:val="00B468FA"/>
    <w:rsid w:val="00B4742B"/>
    <w:rsid w:val="00B47704"/>
    <w:rsid w:val="00B50198"/>
    <w:rsid w:val="00B501CD"/>
    <w:rsid w:val="00B50ABE"/>
    <w:rsid w:val="00B50B1A"/>
    <w:rsid w:val="00B5123A"/>
    <w:rsid w:val="00B5123F"/>
    <w:rsid w:val="00B51DE3"/>
    <w:rsid w:val="00B524F5"/>
    <w:rsid w:val="00B52AEA"/>
    <w:rsid w:val="00B52C37"/>
    <w:rsid w:val="00B533AA"/>
    <w:rsid w:val="00B53694"/>
    <w:rsid w:val="00B558EF"/>
    <w:rsid w:val="00B56447"/>
    <w:rsid w:val="00B56719"/>
    <w:rsid w:val="00B56BD8"/>
    <w:rsid w:val="00B602B3"/>
    <w:rsid w:val="00B603AE"/>
    <w:rsid w:val="00B60B5A"/>
    <w:rsid w:val="00B61827"/>
    <w:rsid w:val="00B61FD1"/>
    <w:rsid w:val="00B62D3D"/>
    <w:rsid w:val="00B62DED"/>
    <w:rsid w:val="00B62FEC"/>
    <w:rsid w:val="00B64225"/>
    <w:rsid w:val="00B649FA"/>
    <w:rsid w:val="00B64CBC"/>
    <w:rsid w:val="00B6588E"/>
    <w:rsid w:val="00B65BA1"/>
    <w:rsid w:val="00B65E7C"/>
    <w:rsid w:val="00B66066"/>
    <w:rsid w:val="00B66C38"/>
    <w:rsid w:val="00B6715F"/>
    <w:rsid w:val="00B708C7"/>
    <w:rsid w:val="00B70D96"/>
    <w:rsid w:val="00B715D5"/>
    <w:rsid w:val="00B71F72"/>
    <w:rsid w:val="00B72CD8"/>
    <w:rsid w:val="00B737E9"/>
    <w:rsid w:val="00B749B9"/>
    <w:rsid w:val="00B75758"/>
    <w:rsid w:val="00B76DA1"/>
    <w:rsid w:val="00B7758C"/>
    <w:rsid w:val="00B77669"/>
    <w:rsid w:val="00B778B4"/>
    <w:rsid w:val="00B77AFF"/>
    <w:rsid w:val="00B77F98"/>
    <w:rsid w:val="00B8064B"/>
    <w:rsid w:val="00B807B6"/>
    <w:rsid w:val="00B80CE3"/>
    <w:rsid w:val="00B8132C"/>
    <w:rsid w:val="00B813B4"/>
    <w:rsid w:val="00B82D1C"/>
    <w:rsid w:val="00B82D81"/>
    <w:rsid w:val="00B83573"/>
    <w:rsid w:val="00B83C6C"/>
    <w:rsid w:val="00B83CFB"/>
    <w:rsid w:val="00B86B98"/>
    <w:rsid w:val="00B87121"/>
    <w:rsid w:val="00B87BCA"/>
    <w:rsid w:val="00B91717"/>
    <w:rsid w:val="00B91CC9"/>
    <w:rsid w:val="00B9357F"/>
    <w:rsid w:val="00B93605"/>
    <w:rsid w:val="00B93981"/>
    <w:rsid w:val="00B94B88"/>
    <w:rsid w:val="00B94ECA"/>
    <w:rsid w:val="00B95087"/>
    <w:rsid w:val="00B964AD"/>
    <w:rsid w:val="00B96B11"/>
    <w:rsid w:val="00B9758A"/>
    <w:rsid w:val="00B97880"/>
    <w:rsid w:val="00BA024D"/>
    <w:rsid w:val="00BA1B93"/>
    <w:rsid w:val="00BA23C9"/>
    <w:rsid w:val="00BA277F"/>
    <w:rsid w:val="00BA3C79"/>
    <w:rsid w:val="00BA3F7F"/>
    <w:rsid w:val="00BA4195"/>
    <w:rsid w:val="00BA4753"/>
    <w:rsid w:val="00BA5269"/>
    <w:rsid w:val="00BA54B9"/>
    <w:rsid w:val="00BA5BCA"/>
    <w:rsid w:val="00BA5ECC"/>
    <w:rsid w:val="00BA67E4"/>
    <w:rsid w:val="00BA6B18"/>
    <w:rsid w:val="00BA6F06"/>
    <w:rsid w:val="00BA7A99"/>
    <w:rsid w:val="00BA7D7C"/>
    <w:rsid w:val="00BA7F0E"/>
    <w:rsid w:val="00BB060F"/>
    <w:rsid w:val="00BB128C"/>
    <w:rsid w:val="00BB1406"/>
    <w:rsid w:val="00BB1869"/>
    <w:rsid w:val="00BB1FDC"/>
    <w:rsid w:val="00BB239B"/>
    <w:rsid w:val="00BB2CDD"/>
    <w:rsid w:val="00BB30EB"/>
    <w:rsid w:val="00BB3773"/>
    <w:rsid w:val="00BB3A75"/>
    <w:rsid w:val="00BB3BFE"/>
    <w:rsid w:val="00BB4080"/>
    <w:rsid w:val="00BB42BF"/>
    <w:rsid w:val="00BB4B94"/>
    <w:rsid w:val="00BB5C79"/>
    <w:rsid w:val="00BB6B27"/>
    <w:rsid w:val="00BB7DA0"/>
    <w:rsid w:val="00BB7FDF"/>
    <w:rsid w:val="00BC07DA"/>
    <w:rsid w:val="00BC0CB6"/>
    <w:rsid w:val="00BC0D5A"/>
    <w:rsid w:val="00BC22C8"/>
    <w:rsid w:val="00BC25AF"/>
    <w:rsid w:val="00BC3587"/>
    <w:rsid w:val="00BC4398"/>
    <w:rsid w:val="00BC439C"/>
    <w:rsid w:val="00BC538F"/>
    <w:rsid w:val="00BC53AE"/>
    <w:rsid w:val="00BC593B"/>
    <w:rsid w:val="00BC684E"/>
    <w:rsid w:val="00BC7005"/>
    <w:rsid w:val="00BC7A9D"/>
    <w:rsid w:val="00BD09DD"/>
    <w:rsid w:val="00BD0E4D"/>
    <w:rsid w:val="00BD1D24"/>
    <w:rsid w:val="00BD23A7"/>
    <w:rsid w:val="00BD2521"/>
    <w:rsid w:val="00BD2FB5"/>
    <w:rsid w:val="00BD4003"/>
    <w:rsid w:val="00BD5B52"/>
    <w:rsid w:val="00BD6405"/>
    <w:rsid w:val="00BD6534"/>
    <w:rsid w:val="00BD7F76"/>
    <w:rsid w:val="00BE17C6"/>
    <w:rsid w:val="00BE1C27"/>
    <w:rsid w:val="00BE1C48"/>
    <w:rsid w:val="00BE2C08"/>
    <w:rsid w:val="00BE2FCD"/>
    <w:rsid w:val="00BE33A0"/>
    <w:rsid w:val="00BE3531"/>
    <w:rsid w:val="00BE3914"/>
    <w:rsid w:val="00BE3C1B"/>
    <w:rsid w:val="00BE47E4"/>
    <w:rsid w:val="00BE55D8"/>
    <w:rsid w:val="00BE5F29"/>
    <w:rsid w:val="00BE6BA1"/>
    <w:rsid w:val="00BF0D7F"/>
    <w:rsid w:val="00BF12C1"/>
    <w:rsid w:val="00BF1C81"/>
    <w:rsid w:val="00BF1E36"/>
    <w:rsid w:val="00BF2B0B"/>
    <w:rsid w:val="00BF31A4"/>
    <w:rsid w:val="00BF51F4"/>
    <w:rsid w:val="00BF5B39"/>
    <w:rsid w:val="00BF6925"/>
    <w:rsid w:val="00BF6DE6"/>
    <w:rsid w:val="00BF7B60"/>
    <w:rsid w:val="00C0051D"/>
    <w:rsid w:val="00C00916"/>
    <w:rsid w:val="00C027A2"/>
    <w:rsid w:val="00C02910"/>
    <w:rsid w:val="00C03483"/>
    <w:rsid w:val="00C0359E"/>
    <w:rsid w:val="00C03D1C"/>
    <w:rsid w:val="00C04952"/>
    <w:rsid w:val="00C0596C"/>
    <w:rsid w:val="00C05E2C"/>
    <w:rsid w:val="00C05FD1"/>
    <w:rsid w:val="00C074E4"/>
    <w:rsid w:val="00C07606"/>
    <w:rsid w:val="00C102D3"/>
    <w:rsid w:val="00C12E52"/>
    <w:rsid w:val="00C13A9C"/>
    <w:rsid w:val="00C140F4"/>
    <w:rsid w:val="00C1508D"/>
    <w:rsid w:val="00C1595D"/>
    <w:rsid w:val="00C16DB8"/>
    <w:rsid w:val="00C17119"/>
    <w:rsid w:val="00C17E11"/>
    <w:rsid w:val="00C17EF4"/>
    <w:rsid w:val="00C20A64"/>
    <w:rsid w:val="00C20E9A"/>
    <w:rsid w:val="00C22346"/>
    <w:rsid w:val="00C2260A"/>
    <w:rsid w:val="00C22681"/>
    <w:rsid w:val="00C22FAF"/>
    <w:rsid w:val="00C23053"/>
    <w:rsid w:val="00C232B4"/>
    <w:rsid w:val="00C24443"/>
    <w:rsid w:val="00C250D1"/>
    <w:rsid w:val="00C27E2E"/>
    <w:rsid w:val="00C3001E"/>
    <w:rsid w:val="00C30058"/>
    <w:rsid w:val="00C30287"/>
    <w:rsid w:val="00C31103"/>
    <w:rsid w:val="00C3138C"/>
    <w:rsid w:val="00C31B55"/>
    <w:rsid w:val="00C32829"/>
    <w:rsid w:val="00C32B60"/>
    <w:rsid w:val="00C3329E"/>
    <w:rsid w:val="00C3332B"/>
    <w:rsid w:val="00C3378C"/>
    <w:rsid w:val="00C33986"/>
    <w:rsid w:val="00C348E2"/>
    <w:rsid w:val="00C35450"/>
    <w:rsid w:val="00C36034"/>
    <w:rsid w:val="00C37CB3"/>
    <w:rsid w:val="00C404FE"/>
    <w:rsid w:val="00C4194F"/>
    <w:rsid w:val="00C41B86"/>
    <w:rsid w:val="00C41BB6"/>
    <w:rsid w:val="00C42138"/>
    <w:rsid w:val="00C4362C"/>
    <w:rsid w:val="00C4387B"/>
    <w:rsid w:val="00C43D5B"/>
    <w:rsid w:val="00C440ED"/>
    <w:rsid w:val="00C46162"/>
    <w:rsid w:val="00C47267"/>
    <w:rsid w:val="00C505FB"/>
    <w:rsid w:val="00C515E4"/>
    <w:rsid w:val="00C51B22"/>
    <w:rsid w:val="00C53B59"/>
    <w:rsid w:val="00C53DE6"/>
    <w:rsid w:val="00C53F2D"/>
    <w:rsid w:val="00C54E95"/>
    <w:rsid w:val="00C54ED3"/>
    <w:rsid w:val="00C5519A"/>
    <w:rsid w:val="00C56D3E"/>
    <w:rsid w:val="00C574F8"/>
    <w:rsid w:val="00C57E34"/>
    <w:rsid w:val="00C60719"/>
    <w:rsid w:val="00C60980"/>
    <w:rsid w:val="00C60C5B"/>
    <w:rsid w:val="00C60F2E"/>
    <w:rsid w:val="00C614B2"/>
    <w:rsid w:val="00C6151E"/>
    <w:rsid w:val="00C61695"/>
    <w:rsid w:val="00C62202"/>
    <w:rsid w:val="00C62568"/>
    <w:rsid w:val="00C62CD2"/>
    <w:rsid w:val="00C647A1"/>
    <w:rsid w:val="00C64D60"/>
    <w:rsid w:val="00C66834"/>
    <w:rsid w:val="00C66AB8"/>
    <w:rsid w:val="00C66C08"/>
    <w:rsid w:val="00C67D2D"/>
    <w:rsid w:val="00C70000"/>
    <w:rsid w:val="00C70FAA"/>
    <w:rsid w:val="00C712DE"/>
    <w:rsid w:val="00C71A11"/>
    <w:rsid w:val="00C71AC2"/>
    <w:rsid w:val="00C72375"/>
    <w:rsid w:val="00C7241D"/>
    <w:rsid w:val="00C72D11"/>
    <w:rsid w:val="00C73DA3"/>
    <w:rsid w:val="00C74F12"/>
    <w:rsid w:val="00C7537F"/>
    <w:rsid w:val="00C7580D"/>
    <w:rsid w:val="00C763BA"/>
    <w:rsid w:val="00C7669E"/>
    <w:rsid w:val="00C80F73"/>
    <w:rsid w:val="00C81D5C"/>
    <w:rsid w:val="00C81D76"/>
    <w:rsid w:val="00C837B7"/>
    <w:rsid w:val="00C8521E"/>
    <w:rsid w:val="00C856EF"/>
    <w:rsid w:val="00C86F0E"/>
    <w:rsid w:val="00C8715E"/>
    <w:rsid w:val="00C87FE9"/>
    <w:rsid w:val="00C90116"/>
    <w:rsid w:val="00C9174F"/>
    <w:rsid w:val="00C9209C"/>
    <w:rsid w:val="00C928DA"/>
    <w:rsid w:val="00C92C63"/>
    <w:rsid w:val="00C93A17"/>
    <w:rsid w:val="00C93C50"/>
    <w:rsid w:val="00C93DF8"/>
    <w:rsid w:val="00C93F28"/>
    <w:rsid w:val="00C94036"/>
    <w:rsid w:val="00C94434"/>
    <w:rsid w:val="00C95841"/>
    <w:rsid w:val="00C96801"/>
    <w:rsid w:val="00C96D2B"/>
    <w:rsid w:val="00C97368"/>
    <w:rsid w:val="00CA12D4"/>
    <w:rsid w:val="00CA1E51"/>
    <w:rsid w:val="00CA280B"/>
    <w:rsid w:val="00CA2ABF"/>
    <w:rsid w:val="00CA2CAF"/>
    <w:rsid w:val="00CA315A"/>
    <w:rsid w:val="00CA3D12"/>
    <w:rsid w:val="00CA3F64"/>
    <w:rsid w:val="00CA5116"/>
    <w:rsid w:val="00CA5CB1"/>
    <w:rsid w:val="00CA62C1"/>
    <w:rsid w:val="00CA6412"/>
    <w:rsid w:val="00CA6CB7"/>
    <w:rsid w:val="00CA6D18"/>
    <w:rsid w:val="00CB04DD"/>
    <w:rsid w:val="00CB196C"/>
    <w:rsid w:val="00CB1C8F"/>
    <w:rsid w:val="00CB20EF"/>
    <w:rsid w:val="00CB35E9"/>
    <w:rsid w:val="00CB3BBA"/>
    <w:rsid w:val="00CB4B09"/>
    <w:rsid w:val="00CB4EE2"/>
    <w:rsid w:val="00CB5284"/>
    <w:rsid w:val="00CB5798"/>
    <w:rsid w:val="00CB66F9"/>
    <w:rsid w:val="00CB678B"/>
    <w:rsid w:val="00CB7129"/>
    <w:rsid w:val="00CB7508"/>
    <w:rsid w:val="00CB755F"/>
    <w:rsid w:val="00CC08A5"/>
    <w:rsid w:val="00CC0C0B"/>
    <w:rsid w:val="00CC0F55"/>
    <w:rsid w:val="00CC2913"/>
    <w:rsid w:val="00CC3691"/>
    <w:rsid w:val="00CC3F58"/>
    <w:rsid w:val="00CC478E"/>
    <w:rsid w:val="00CC5964"/>
    <w:rsid w:val="00CC63CA"/>
    <w:rsid w:val="00CC75BD"/>
    <w:rsid w:val="00CC76DA"/>
    <w:rsid w:val="00CC780C"/>
    <w:rsid w:val="00CD3476"/>
    <w:rsid w:val="00CD5516"/>
    <w:rsid w:val="00CD5548"/>
    <w:rsid w:val="00CD5A1D"/>
    <w:rsid w:val="00CD5B8C"/>
    <w:rsid w:val="00CD6BF8"/>
    <w:rsid w:val="00CD6D21"/>
    <w:rsid w:val="00CD7E10"/>
    <w:rsid w:val="00CE0303"/>
    <w:rsid w:val="00CE21B1"/>
    <w:rsid w:val="00CE28F2"/>
    <w:rsid w:val="00CE4158"/>
    <w:rsid w:val="00CE5218"/>
    <w:rsid w:val="00CE5753"/>
    <w:rsid w:val="00CE6182"/>
    <w:rsid w:val="00CE7162"/>
    <w:rsid w:val="00CE7956"/>
    <w:rsid w:val="00CF0208"/>
    <w:rsid w:val="00CF0814"/>
    <w:rsid w:val="00CF0C1F"/>
    <w:rsid w:val="00CF130B"/>
    <w:rsid w:val="00CF318A"/>
    <w:rsid w:val="00CF4AA7"/>
    <w:rsid w:val="00CF500A"/>
    <w:rsid w:val="00CF55F4"/>
    <w:rsid w:val="00CF61CA"/>
    <w:rsid w:val="00CF6B44"/>
    <w:rsid w:val="00D00FB6"/>
    <w:rsid w:val="00D024B1"/>
    <w:rsid w:val="00D0277C"/>
    <w:rsid w:val="00D02E96"/>
    <w:rsid w:val="00D03FCB"/>
    <w:rsid w:val="00D04553"/>
    <w:rsid w:val="00D049C9"/>
    <w:rsid w:val="00D04AA5"/>
    <w:rsid w:val="00D04D1A"/>
    <w:rsid w:val="00D04E30"/>
    <w:rsid w:val="00D05F65"/>
    <w:rsid w:val="00D05FFB"/>
    <w:rsid w:val="00D06995"/>
    <w:rsid w:val="00D075E4"/>
    <w:rsid w:val="00D07655"/>
    <w:rsid w:val="00D07AC4"/>
    <w:rsid w:val="00D106E4"/>
    <w:rsid w:val="00D11119"/>
    <w:rsid w:val="00D11327"/>
    <w:rsid w:val="00D11701"/>
    <w:rsid w:val="00D11932"/>
    <w:rsid w:val="00D119ED"/>
    <w:rsid w:val="00D11DC2"/>
    <w:rsid w:val="00D127BE"/>
    <w:rsid w:val="00D128F0"/>
    <w:rsid w:val="00D12DA8"/>
    <w:rsid w:val="00D1357E"/>
    <w:rsid w:val="00D138A1"/>
    <w:rsid w:val="00D13A02"/>
    <w:rsid w:val="00D140A4"/>
    <w:rsid w:val="00D14DD5"/>
    <w:rsid w:val="00D163FF"/>
    <w:rsid w:val="00D17918"/>
    <w:rsid w:val="00D20265"/>
    <w:rsid w:val="00D203FB"/>
    <w:rsid w:val="00D2326C"/>
    <w:rsid w:val="00D24D0F"/>
    <w:rsid w:val="00D2542A"/>
    <w:rsid w:val="00D26A88"/>
    <w:rsid w:val="00D26DE0"/>
    <w:rsid w:val="00D27CDC"/>
    <w:rsid w:val="00D27DD8"/>
    <w:rsid w:val="00D3060A"/>
    <w:rsid w:val="00D31986"/>
    <w:rsid w:val="00D32D74"/>
    <w:rsid w:val="00D33DF0"/>
    <w:rsid w:val="00D34853"/>
    <w:rsid w:val="00D34B0E"/>
    <w:rsid w:val="00D3699E"/>
    <w:rsid w:val="00D370D7"/>
    <w:rsid w:val="00D3780F"/>
    <w:rsid w:val="00D37916"/>
    <w:rsid w:val="00D40BB3"/>
    <w:rsid w:val="00D412C9"/>
    <w:rsid w:val="00D41AF3"/>
    <w:rsid w:val="00D420BD"/>
    <w:rsid w:val="00D42275"/>
    <w:rsid w:val="00D43ABD"/>
    <w:rsid w:val="00D444CC"/>
    <w:rsid w:val="00D4473B"/>
    <w:rsid w:val="00D449D4"/>
    <w:rsid w:val="00D4513D"/>
    <w:rsid w:val="00D461BF"/>
    <w:rsid w:val="00D46721"/>
    <w:rsid w:val="00D47390"/>
    <w:rsid w:val="00D47909"/>
    <w:rsid w:val="00D47AD5"/>
    <w:rsid w:val="00D505DB"/>
    <w:rsid w:val="00D50AED"/>
    <w:rsid w:val="00D5199C"/>
    <w:rsid w:val="00D53FFE"/>
    <w:rsid w:val="00D54365"/>
    <w:rsid w:val="00D54EB7"/>
    <w:rsid w:val="00D55B4C"/>
    <w:rsid w:val="00D56419"/>
    <w:rsid w:val="00D56DAA"/>
    <w:rsid w:val="00D57208"/>
    <w:rsid w:val="00D5786B"/>
    <w:rsid w:val="00D610D9"/>
    <w:rsid w:val="00D61F43"/>
    <w:rsid w:val="00D6238B"/>
    <w:rsid w:val="00D628AD"/>
    <w:rsid w:val="00D643D0"/>
    <w:rsid w:val="00D64AD0"/>
    <w:rsid w:val="00D652D2"/>
    <w:rsid w:val="00D65CC7"/>
    <w:rsid w:val="00D65DB8"/>
    <w:rsid w:val="00D66A3C"/>
    <w:rsid w:val="00D67048"/>
    <w:rsid w:val="00D709FC"/>
    <w:rsid w:val="00D720B0"/>
    <w:rsid w:val="00D72395"/>
    <w:rsid w:val="00D741DD"/>
    <w:rsid w:val="00D75378"/>
    <w:rsid w:val="00D75403"/>
    <w:rsid w:val="00D769AE"/>
    <w:rsid w:val="00D777B9"/>
    <w:rsid w:val="00D77B28"/>
    <w:rsid w:val="00D77C53"/>
    <w:rsid w:val="00D77CD4"/>
    <w:rsid w:val="00D8069E"/>
    <w:rsid w:val="00D82C81"/>
    <w:rsid w:val="00D82F40"/>
    <w:rsid w:val="00D8365E"/>
    <w:rsid w:val="00D83E72"/>
    <w:rsid w:val="00D8442A"/>
    <w:rsid w:val="00D8616A"/>
    <w:rsid w:val="00D87269"/>
    <w:rsid w:val="00D91DB6"/>
    <w:rsid w:val="00D9269D"/>
    <w:rsid w:val="00D932C9"/>
    <w:rsid w:val="00D942EA"/>
    <w:rsid w:val="00D94A9A"/>
    <w:rsid w:val="00D9533B"/>
    <w:rsid w:val="00D953AF"/>
    <w:rsid w:val="00D96D9D"/>
    <w:rsid w:val="00DA0797"/>
    <w:rsid w:val="00DA08B1"/>
    <w:rsid w:val="00DA0B1C"/>
    <w:rsid w:val="00DA1058"/>
    <w:rsid w:val="00DA4135"/>
    <w:rsid w:val="00DA4B72"/>
    <w:rsid w:val="00DA4D9A"/>
    <w:rsid w:val="00DA6029"/>
    <w:rsid w:val="00DA63CD"/>
    <w:rsid w:val="00DA652B"/>
    <w:rsid w:val="00DA6D4D"/>
    <w:rsid w:val="00DA7204"/>
    <w:rsid w:val="00DA75C0"/>
    <w:rsid w:val="00DB14DF"/>
    <w:rsid w:val="00DB2BA4"/>
    <w:rsid w:val="00DB304B"/>
    <w:rsid w:val="00DB34E9"/>
    <w:rsid w:val="00DB3AC7"/>
    <w:rsid w:val="00DB5354"/>
    <w:rsid w:val="00DB5D16"/>
    <w:rsid w:val="00DB6350"/>
    <w:rsid w:val="00DB7A85"/>
    <w:rsid w:val="00DC0DE3"/>
    <w:rsid w:val="00DC0FAF"/>
    <w:rsid w:val="00DC1DE2"/>
    <w:rsid w:val="00DC1FFC"/>
    <w:rsid w:val="00DC2348"/>
    <w:rsid w:val="00DC2AE4"/>
    <w:rsid w:val="00DC419B"/>
    <w:rsid w:val="00DC475E"/>
    <w:rsid w:val="00DC493D"/>
    <w:rsid w:val="00DC5998"/>
    <w:rsid w:val="00DC5B18"/>
    <w:rsid w:val="00DC6E0B"/>
    <w:rsid w:val="00DC6E0F"/>
    <w:rsid w:val="00DC7176"/>
    <w:rsid w:val="00DC75C1"/>
    <w:rsid w:val="00DC7B50"/>
    <w:rsid w:val="00DD0053"/>
    <w:rsid w:val="00DD0132"/>
    <w:rsid w:val="00DD019A"/>
    <w:rsid w:val="00DD01C7"/>
    <w:rsid w:val="00DD0B68"/>
    <w:rsid w:val="00DD0F7B"/>
    <w:rsid w:val="00DD131B"/>
    <w:rsid w:val="00DD15A2"/>
    <w:rsid w:val="00DD1D48"/>
    <w:rsid w:val="00DD2598"/>
    <w:rsid w:val="00DD2C09"/>
    <w:rsid w:val="00DD337A"/>
    <w:rsid w:val="00DD3F9E"/>
    <w:rsid w:val="00DD4751"/>
    <w:rsid w:val="00DD485B"/>
    <w:rsid w:val="00DD48E0"/>
    <w:rsid w:val="00DD4AA9"/>
    <w:rsid w:val="00DD4F1D"/>
    <w:rsid w:val="00DE0744"/>
    <w:rsid w:val="00DE0922"/>
    <w:rsid w:val="00DE0F89"/>
    <w:rsid w:val="00DE1969"/>
    <w:rsid w:val="00DE2237"/>
    <w:rsid w:val="00DE2394"/>
    <w:rsid w:val="00DE2BFB"/>
    <w:rsid w:val="00DE3182"/>
    <w:rsid w:val="00DE4091"/>
    <w:rsid w:val="00DE6CCA"/>
    <w:rsid w:val="00DE7763"/>
    <w:rsid w:val="00DF0115"/>
    <w:rsid w:val="00DF03D3"/>
    <w:rsid w:val="00DF06B0"/>
    <w:rsid w:val="00DF0DA8"/>
    <w:rsid w:val="00DF250A"/>
    <w:rsid w:val="00DF26F5"/>
    <w:rsid w:val="00DF48A6"/>
    <w:rsid w:val="00DF51BF"/>
    <w:rsid w:val="00DF53D3"/>
    <w:rsid w:val="00DF609E"/>
    <w:rsid w:val="00DF6AB7"/>
    <w:rsid w:val="00DF72EE"/>
    <w:rsid w:val="00DF764C"/>
    <w:rsid w:val="00E01BEE"/>
    <w:rsid w:val="00E01DB2"/>
    <w:rsid w:val="00E01E0A"/>
    <w:rsid w:val="00E01E10"/>
    <w:rsid w:val="00E02D2F"/>
    <w:rsid w:val="00E0303C"/>
    <w:rsid w:val="00E03B41"/>
    <w:rsid w:val="00E03F43"/>
    <w:rsid w:val="00E04178"/>
    <w:rsid w:val="00E0440F"/>
    <w:rsid w:val="00E04423"/>
    <w:rsid w:val="00E04F82"/>
    <w:rsid w:val="00E051A1"/>
    <w:rsid w:val="00E05AA4"/>
    <w:rsid w:val="00E06481"/>
    <w:rsid w:val="00E0692C"/>
    <w:rsid w:val="00E06E39"/>
    <w:rsid w:val="00E06EC8"/>
    <w:rsid w:val="00E0777A"/>
    <w:rsid w:val="00E07D34"/>
    <w:rsid w:val="00E10442"/>
    <w:rsid w:val="00E105BB"/>
    <w:rsid w:val="00E11EA7"/>
    <w:rsid w:val="00E12CCB"/>
    <w:rsid w:val="00E12F97"/>
    <w:rsid w:val="00E13788"/>
    <w:rsid w:val="00E137A1"/>
    <w:rsid w:val="00E1459C"/>
    <w:rsid w:val="00E14DDA"/>
    <w:rsid w:val="00E16307"/>
    <w:rsid w:val="00E169F8"/>
    <w:rsid w:val="00E16D84"/>
    <w:rsid w:val="00E1741F"/>
    <w:rsid w:val="00E17FA9"/>
    <w:rsid w:val="00E201E3"/>
    <w:rsid w:val="00E20A0F"/>
    <w:rsid w:val="00E21FEC"/>
    <w:rsid w:val="00E233F8"/>
    <w:rsid w:val="00E2499E"/>
    <w:rsid w:val="00E25A9B"/>
    <w:rsid w:val="00E25B96"/>
    <w:rsid w:val="00E260EA"/>
    <w:rsid w:val="00E27118"/>
    <w:rsid w:val="00E2732C"/>
    <w:rsid w:val="00E279A7"/>
    <w:rsid w:val="00E31081"/>
    <w:rsid w:val="00E31563"/>
    <w:rsid w:val="00E31C9B"/>
    <w:rsid w:val="00E32E82"/>
    <w:rsid w:val="00E332A4"/>
    <w:rsid w:val="00E3341E"/>
    <w:rsid w:val="00E33B0C"/>
    <w:rsid w:val="00E346AB"/>
    <w:rsid w:val="00E3477F"/>
    <w:rsid w:val="00E349CD"/>
    <w:rsid w:val="00E34A38"/>
    <w:rsid w:val="00E34A5B"/>
    <w:rsid w:val="00E41947"/>
    <w:rsid w:val="00E41D49"/>
    <w:rsid w:val="00E420F5"/>
    <w:rsid w:val="00E422D8"/>
    <w:rsid w:val="00E43614"/>
    <w:rsid w:val="00E43930"/>
    <w:rsid w:val="00E43B8E"/>
    <w:rsid w:val="00E44240"/>
    <w:rsid w:val="00E44723"/>
    <w:rsid w:val="00E44776"/>
    <w:rsid w:val="00E44E7C"/>
    <w:rsid w:val="00E455F8"/>
    <w:rsid w:val="00E45FB6"/>
    <w:rsid w:val="00E46293"/>
    <w:rsid w:val="00E4785A"/>
    <w:rsid w:val="00E47FA2"/>
    <w:rsid w:val="00E50583"/>
    <w:rsid w:val="00E51879"/>
    <w:rsid w:val="00E5252D"/>
    <w:rsid w:val="00E531B1"/>
    <w:rsid w:val="00E53EB5"/>
    <w:rsid w:val="00E54D86"/>
    <w:rsid w:val="00E55F91"/>
    <w:rsid w:val="00E56320"/>
    <w:rsid w:val="00E56946"/>
    <w:rsid w:val="00E56CC8"/>
    <w:rsid w:val="00E56DB0"/>
    <w:rsid w:val="00E5732F"/>
    <w:rsid w:val="00E573EB"/>
    <w:rsid w:val="00E579D8"/>
    <w:rsid w:val="00E57FD4"/>
    <w:rsid w:val="00E6000E"/>
    <w:rsid w:val="00E604AA"/>
    <w:rsid w:val="00E6068E"/>
    <w:rsid w:val="00E60699"/>
    <w:rsid w:val="00E61F14"/>
    <w:rsid w:val="00E62647"/>
    <w:rsid w:val="00E62842"/>
    <w:rsid w:val="00E62D38"/>
    <w:rsid w:val="00E64610"/>
    <w:rsid w:val="00E648F2"/>
    <w:rsid w:val="00E65135"/>
    <w:rsid w:val="00E65ADF"/>
    <w:rsid w:val="00E667DF"/>
    <w:rsid w:val="00E66FF2"/>
    <w:rsid w:val="00E67169"/>
    <w:rsid w:val="00E67D94"/>
    <w:rsid w:val="00E72381"/>
    <w:rsid w:val="00E726C2"/>
    <w:rsid w:val="00E72F6F"/>
    <w:rsid w:val="00E7373A"/>
    <w:rsid w:val="00E737F3"/>
    <w:rsid w:val="00E73AA3"/>
    <w:rsid w:val="00E73E7A"/>
    <w:rsid w:val="00E74332"/>
    <w:rsid w:val="00E75D8E"/>
    <w:rsid w:val="00E767D2"/>
    <w:rsid w:val="00E771E6"/>
    <w:rsid w:val="00E7725C"/>
    <w:rsid w:val="00E805A9"/>
    <w:rsid w:val="00E8154C"/>
    <w:rsid w:val="00E81B4C"/>
    <w:rsid w:val="00E8203B"/>
    <w:rsid w:val="00E8245D"/>
    <w:rsid w:val="00E8250D"/>
    <w:rsid w:val="00E8268A"/>
    <w:rsid w:val="00E834AF"/>
    <w:rsid w:val="00E83E16"/>
    <w:rsid w:val="00E84041"/>
    <w:rsid w:val="00E84182"/>
    <w:rsid w:val="00E8459D"/>
    <w:rsid w:val="00E85D04"/>
    <w:rsid w:val="00E90087"/>
    <w:rsid w:val="00E903E9"/>
    <w:rsid w:val="00E9055A"/>
    <w:rsid w:val="00E918C1"/>
    <w:rsid w:val="00E9258B"/>
    <w:rsid w:val="00E92DD6"/>
    <w:rsid w:val="00E931EC"/>
    <w:rsid w:val="00E94A70"/>
    <w:rsid w:val="00E94E9E"/>
    <w:rsid w:val="00E95582"/>
    <w:rsid w:val="00E9668A"/>
    <w:rsid w:val="00E97222"/>
    <w:rsid w:val="00E978E8"/>
    <w:rsid w:val="00E97F34"/>
    <w:rsid w:val="00EA0F40"/>
    <w:rsid w:val="00EA0F8D"/>
    <w:rsid w:val="00EA10AF"/>
    <w:rsid w:val="00EA1A6E"/>
    <w:rsid w:val="00EA21B9"/>
    <w:rsid w:val="00EA3B46"/>
    <w:rsid w:val="00EA3E73"/>
    <w:rsid w:val="00EA5391"/>
    <w:rsid w:val="00EA6022"/>
    <w:rsid w:val="00EA6AD6"/>
    <w:rsid w:val="00EA6F9A"/>
    <w:rsid w:val="00EA7F78"/>
    <w:rsid w:val="00EB2436"/>
    <w:rsid w:val="00EB2FD0"/>
    <w:rsid w:val="00EB3D68"/>
    <w:rsid w:val="00EB3EEF"/>
    <w:rsid w:val="00EB48BE"/>
    <w:rsid w:val="00EB4BBC"/>
    <w:rsid w:val="00EB4C09"/>
    <w:rsid w:val="00EB5993"/>
    <w:rsid w:val="00EB5DBC"/>
    <w:rsid w:val="00EB5DE7"/>
    <w:rsid w:val="00EB63CC"/>
    <w:rsid w:val="00EB6772"/>
    <w:rsid w:val="00EB70BD"/>
    <w:rsid w:val="00EB7145"/>
    <w:rsid w:val="00EB7B14"/>
    <w:rsid w:val="00EC06B8"/>
    <w:rsid w:val="00EC0BB5"/>
    <w:rsid w:val="00EC1AB9"/>
    <w:rsid w:val="00EC34CC"/>
    <w:rsid w:val="00EC34CF"/>
    <w:rsid w:val="00EC406B"/>
    <w:rsid w:val="00EC41C9"/>
    <w:rsid w:val="00EC4DFD"/>
    <w:rsid w:val="00EC5620"/>
    <w:rsid w:val="00EC5893"/>
    <w:rsid w:val="00EC6031"/>
    <w:rsid w:val="00EC6254"/>
    <w:rsid w:val="00EC6CE6"/>
    <w:rsid w:val="00EC785C"/>
    <w:rsid w:val="00EC7F9A"/>
    <w:rsid w:val="00ED1676"/>
    <w:rsid w:val="00ED1EAB"/>
    <w:rsid w:val="00ED23ED"/>
    <w:rsid w:val="00ED3E04"/>
    <w:rsid w:val="00ED49AD"/>
    <w:rsid w:val="00ED5F1D"/>
    <w:rsid w:val="00ED62EC"/>
    <w:rsid w:val="00ED74A7"/>
    <w:rsid w:val="00ED7C8C"/>
    <w:rsid w:val="00ED7FB5"/>
    <w:rsid w:val="00EE119D"/>
    <w:rsid w:val="00EE16FE"/>
    <w:rsid w:val="00EE1DFB"/>
    <w:rsid w:val="00EE1EBE"/>
    <w:rsid w:val="00EE27A7"/>
    <w:rsid w:val="00EE312D"/>
    <w:rsid w:val="00EE39E3"/>
    <w:rsid w:val="00EE3A45"/>
    <w:rsid w:val="00EE461E"/>
    <w:rsid w:val="00EE4A69"/>
    <w:rsid w:val="00EE4DEC"/>
    <w:rsid w:val="00EE585C"/>
    <w:rsid w:val="00EE5A2A"/>
    <w:rsid w:val="00EE5ED9"/>
    <w:rsid w:val="00EE5F80"/>
    <w:rsid w:val="00EE6B7A"/>
    <w:rsid w:val="00EE6EBE"/>
    <w:rsid w:val="00EE7559"/>
    <w:rsid w:val="00EE7562"/>
    <w:rsid w:val="00EF0FB2"/>
    <w:rsid w:val="00EF1288"/>
    <w:rsid w:val="00EF2B02"/>
    <w:rsid w:val="00EF3237"/>
    <w:rsid w:val="00EF3860"/>
    <w:rsid w:val="00EF40A1"/>
    <w:rsid w:val="00EF4832"/>
    <w:rsid w:val="00EF48CF"/>
    <w:rsid w:val="00EF4ABB"/>
    <w:rsid w:val="00EF4C2D"/>
    <w:rsid w:val="00EF5C73"/>
    <w:rsid w:val="00EF5E0E"/>
    <w:rsid w:val="00EF672D"/>
    <w:rsid w:val="00EF73D8"/>
    <w:rsid w:val="00F0080C"/>
    <w:rsid w:val="00F00BCD"/>
    <w:rsid w:val="00F00E5A"/>
    <w:rsid w:val="00F0100E"/>
    <w:rsid w:val="00F01A23"/>
    <w:rsid w:val="00F02127"/>
    <w:rsid w:val="00F0353E"/>
    <w:rsid w:val="00F049A5"/>
    <w:rsid w:val="00F04B69"/>
    <w:rsid w:val="00F04E21"/>
    <w:rsid w:val="00F05551"/>
    <w:rsid w:val="00F06790"/>
    <w:rsid w:val="00F07841"/>
    <w:rsid w:val="00F10408"/>
    <w:rsid w:val="00F11016"/>
    <w:rsid w:val="00F11BFE"/>
    <w:rsid w:val="00F13AD4"/>
    <w:rsid w:val="00F13FF9"/>
    <w:rsid w:val="00F142B0"/>
    <w:rsid w:val="00F167B8"/>
    <w:rsid w:val="00F174F1"/>
    <w:rsid w:val="00F17952"/>
    <w:rsid w:val="00F209BC"/>
    <w:rsid w:val="00F20B4E"/>
    <w:rsid w:val="00F21A24"/>
    <w:rsid w:val="00F21ADC"/>
    <w:rsid w:val="00F21E01"/>
    <w:rsid w:val="00F2295B"/>
    <w:rsid w:val="00F22E91"/>
    <w:rsid w:val="00F23662"/>
    <w:rsid w:val="00F236AF"/>
    <w:rsid w:val="00F25026"/>
    <w:rsid w:val="00F25C51"/>
    <w:rsid w:val="00F26F2D"/>
    <w:rsid w:val="00F27518"/>
    <w:rsid w:val="00F27E26"/>
    <w:rsid w:val="00F301ED"/>
    <w:rsid w:val="00F30AC9"/>
    <w:rsid w:val="00F317B9"/>
    <w:rsid w:val="00F32B81"/>
    <w:rsid w:val="00F33501"/>
    <w:rsid w:val="00F343B4"/>
    <w:rsid w:val="00F34CAA"/>
    <w:rsid w:val="00F34E62"/>
    <w:rsid w:val="00F361E7"/>
    <w:rsid w:val="00F36379"/>
    <w:rsid w:val="00F37B35"/>
    <w:rsid w:val="00F41291"/>
    <w:rsid w:val="00F41667"/>
    <w:rsid w:val="00F433B2"/>
    <w:rsid w:val="00F43B94"/>
    <w:rsid w:val="00F4468C"/>
    <w:rsid w:val="00F456F5"/>
    <w:rsid w:val="00F45CF2"/>
    <w:rsid w:val="00F46938"/>
    <w:rsid w:val="00F4705A"/>
    <w:rsid w:val="00F50036"/>
    <w:rsid w:val="00F51FAF"/>
    <w:rsid w:val="00F52E83"/>
    <w:rsid w:val="00F539BC"/>
    <w:rsid w:val="00F53F0F"/>
    <w:rsid w:val="00F5479A"/>
    <w:rsid w:val="00F54915"/>
    <w:rsid w:val="00F54FEE"/>
    <w:rsid w:val="00F561B5"/>
    <w:rsid w:val="00F5636B"/>
    <w:rsid w:val="00F57261"/>
    <w:rsid w:val="00F57CC5"/>
    <w:rsid w:val="00F602FE"/>
    <w:rsid w:val="00F606FD"/>
    <w:rsid w:val="00F60A7D"/>
    <w:rsid w:val="00F60DC7"/>
    <w:rsid w:val="00F60F26"/>
    <w:rsid w:val="00F61CB4"/>
    <w:rsid w:val="00F627CB"/>
    <w:rsid w:val="00F62E2B"/>
    <w:rsid w:val="00F62FAB"/>
    <w:rsid w:val="00F63AE9"/>
    <w:rsid w:val="00F64760"/>
    <w:rsid w:val="00F650DB"/>
    <w:rsid w:val="00F652CC"/>
    <w:rsid w:val="00F652FB"/>
    <w:rsid w:val="00F65485"/>
    <w:rsid w:val="00F656DD"/>
    <w:rsid w:val="00F6779D"/>
    <w:rsid w:val="00F67CD4"/>
    <w:rsid w:val="00F70B5A"/>
    <w:rsid w:val="00F70CA6"/>
    <w:rsid w:val="00F70CBC"/>
    <w:rsid w:val="00F715CA"/>
    <w:rsid w:val="00F71909"/>
    <w:rsid w:val="00F719AB"/>
    <w:rsid w:val="00F719CC"/>
    <w:rsid w:val="00F71A84"/>
    <w:rsid w:val="00F71DF0"/>
    <w:rsid w:val="00F72C8D"/>
    <w:rsid w:val="00F7322D"/>
    <w:rsid w:val="00F757E7"/>
    <w:rsid w:val="00F75E91"/>
    <w:rsid w:val="00F769ED"/>
    <w:rsid w:val="00F77579"/>
    <w:rsid w:val="00F81B02"/>
    <w:rsid w:val="00F821ED"/>
    <w:rsid w:val="00F83570"/>
    <w:rsid w:val="00F842A3"/>
    <w:rsid w:val="00F864C3"/>
    <w:rsid w:val="00F8710E"/>
    <w:rsid w:val="00F87875"/>
    <w:rsid w:val="00F9008B"/>
    <w:rsid w:val="00F92751"/>
    <w:rsid w:val="00F92BCE"/>
    <w:rsid w:val="00F92E0C"/>
    <w:rsid w:val="00F93A18"/>
    <w:rsid w:val="00F93DFE"/>
    <w:rsid w:val="00F93FCC"/>
    <w:rsid w:val="00F94518"/>
    <w:rsid w:val="00F94B61"/>
    <w:rsid w:val="00F94C86"/>
    <w:rsid w:val="00F957A0"/>
    <w:rsid w:val="00F96F71"/>
    <w:rsid w:val="00F9736D"/>
    <w:rsid w:val="00F97D2F"/>
    <w:rsid w:val="00FA0201"/>
    <w:rsid w:val="00FA02D6"/>
    <w:rsid w:val="00FA063F"/>
    <w:rsid w:val="00FA0AB5"/>
    <w:rsid w:val="00FA19D3"/>
    <w:rsid w:val="00FA1DBE"/>
    <w:rsid w:val="00FA2076"/>
    <w:rsid w:val="00FA2B62"/>
    <w:rsid w:val="00FA2DE8"/>
    <w:rsid w:val="00FA3036"/>
    <w:rsid w:val="00FA373E"/>
    <w:rsid w:val="00FA4233"/>
    <w:rsid w:val="00FA5923"/>
    <w:rsid w:val="00FA6D98"/>
    <w:rsid w:val="00FA7449"/>
    <w:rsid w:val="00FA7B0D"/>
    <w:rsid w:val="00FA7E8C"/>
    <w:rsid w:val="00FB0037"/>
    <w:rsid w:val="00FB0EC8"/>
    <w:rsid w:val="00FB158E"/>
    <w:rsid w:val="00FB1C33"/>
    <w:rsid w:val="00FB2966"/>
    <w:rsid w:val="00FB2D22"/>
    <w:rsid w:val="00FB2DE0"/>
    <w:rsid w:val="00FB376D"/>
    <w:rsid w:val="00FB3885"/>
    <w:rsid w:val="00FB3B30"/>
    <w:rsid w:val="00FB40E9"/>
    <w:rsid w:val="00FB4209"/>
    <w:rsid w:val="00FB44F5"/>
    <w:rsid w:val="00FB47D4"/>
    <w:rsid w:val="00FB4FF6"/>
    <w:rsid w:val="00FB636C"/>
    <w:rsid w:val="00FB6383"/>
    <w:rsid w:val="00FB690E"/>
    <w:rsid w:val="00FB7609"/>
    <w:rsid w:val="00FB7756"/>
    <w:rsid w:val="00FB78E3"/>
    <w:rsid w:val="00FC032D"/>
    <w:rsid w:val="00FC1498"/>
    <w:rsid w:val="00FC21F4"/>
    <w:rsid w:val="00FC2F7F"/>
    <w:rsid w:val="00FC48C8"/>
    <w:rsid w:val="00FC4D82"/>
    <w:rsid w:val="00FC5C1F"/>
    <w:rsid w:val="00FC619F"/>
    <w:rsid w:val="00FC7C5D"/>
    <w:rsid w:val="00FC7FB0"/>
    <w:rsid w:val="00FD06CD"/>
    <w:rsid w:val="00FD0C16"/>
    <w:rsid w:val="00FD193A"/>
    <w:rsid w:val="00FD1C3D"/>
    <w:rsid w:val="00FD27A3"/>
    <w:rsid w:val="00FD28FD"/>
    <w:rsid w:val="00FD310A"/>
    <w:rsid w:val="00FD3656"/>
    <w:rsid w:val="00FD3B26"/>
    <w:rsid w:val="00FD4196"/>
    <w:rsid w:val="00FD4228"/>
    <w:rsid w:val="00FD4256"/>
    <w:rsid w:val="00FD5A22"/>
    <w:rsid w:val="00FD5A4C"/>
    <w:rsid w:val="00FD5DD2"/>
    <w:rsid w:val="00FD6D60"/>
    <w:rsid w:val="00FD72A6"/>
    <w:rsid w:val="00FD7691"/>
    <w:rsid w:val="00FE03D5"/>
    <w:rsid w:val="00FE1642"/>
    <w:rsid w:val="00FE1B8B"/>
    <w:rsid w:val="00FE1FEA"/>
    <w:rsid w:val="00FE2EB1"/>
    <w:rsid w:val="00FE301D"/>
    <w:rsid w:val="00FE3207"/>
    <w:rsid w:val="00FE34A0"/>
    <w:rsid w:val="00FE36A4"/>
    <w:rsid w:val="00FE4745"/>
    <w:rsid w:val="00FE47B6"/>
    <w:rsid w:val="00FE565C"/>
    <w:rsid w:val="00FE6791"/>
    <w:rsid w:val="00FE6E4F"/>
    <w:rsid w:val="00FE7055"/>
    <w:rsid w:val="00FE7352"/>
    <w:rsid w:val="00FE7C74"/>
    <w:rsid w:val="00FF1C56"/>
    <w:rsid w:val="00FF1D23"/>
    <w:rsid w:val="00FF238D"/>
    <w:rsid w:val="00FF2882"/>
    <w:rsid w:val="00FF3AC3"/>
    <w:rsid w:val="00FF4D32"/>
    <w:rsid w:val="00FF5973"/>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7144A"/>
  <w15:docId w15:val="{521DDB76-75E0-4303-807B-BDC28A89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697F07"/>
    <w:pPr>
      <w:overflowPunct w:val="0"/>
      <w:autoSpaceDE w:val="0"/>
      <w:autoSpaceDN w:val="0"/>
      <w:adjustRightInd w:val="0"/>
      <w:spacing w:line="360" w:lineRule="auto"/>
      <w:textAlignment w:val="baseline"/>
    </w:pPr>
    <w:rPr>
      <w:lang w:val="en-GB"/>
    </w:rPr>
  </w:style>
  <w:style w:type="paragraph" w:styleId="Heading1">
    <w:name w:val="heading 1"/>
    <w:basedOn w:val="Normal"/>
    <w:next w:val="BodyText"/>
    <w:link w:val="Heading1Char"/>
    <w:uiPriority w:val="9"/>
    <w:qFormat/>
    <w:rsid w:val="00D17918"/>
    <w:pPr>
      <w:keepNext/>
      <w:keepLines/>
      <w:numPr>
        <w:numId w:val="2"/>
      </w:numPr>
      <w:tabs>
        <w:tab w:val="left" w:pos="720"/>
        <w:tab w:val="left" w:pos="1418"/>
      </w:tabs>
      <w:spacing w:before="480" w:after="120"/>
      <w:outlineLvl w:val="0"/>
    </w:pPr>
    <w:rPr>
      <w:b/>
      <w:color w:val="548DD4" w:themeColor="text2" w:themeTint="99"/>
      <w:kern w:val="28"/>
      <w:sz w:val="40"/>
    </w:rPr>
  </w:style>
  <w:style w:type="paragraph" w:styleId="Heading2">
    <w:name w:val="heading 2"/>
    <w:basedOn w:val="Heading1"/>
    <w:next w:val="BodyText"/>
    <w:link w:val="Heading2Char"/>
    <w:uiPriority w:val="9"/>
    <w:qFormat/>
    <w:rsid w:val="00D17918"/>
    <w:pPr>
      <w:numPr>
        <w:ilvl w:val="1"/>
      </w:numPr>
      <w:outlineLvl w:val="1"/>
    </w:pPr>
    <w:rPr>
      <w:i/>
      <w:sz w:val="36"/>
      <w:szCs w:val="18"/>
    </w:rPr>
  </w:style>
  <w:style w:type="paragraph" w:styleId="Heading3">
    <w:name w:val="heading 3"/>
    <w:basedOn w:val="Heading1"/>
    <w:uiPriority w:val="9"/>
    <w:qFormat/>
    <w:rsid w:val="00697F07"/>
    <w:pPr>
      <w:numPr>
        <w:ilvl w:val="2"/>
      </w:numPr>
      <w:spacing w:before="360"/>
      <w:outlineLvl w:val="2"/>
    </w:pPr>
    <w:rPr>
      <w:sz w:val="28"/>
      <w:szCs w:val="18"/>
    </w:rPr>
  </w:style>
  <w:style w:type="paragraph" w:styleId="Heading4">
    <w:name w:val="heading 4"/>
    <w:basedOn w:val="Heading1"/>
    <w:next w:val="BodyText"/>
    <w:uiPriority w:val="9"/>
    <w:qFormat/>
    <w:rsid w:val="00535B05"/>
    <w:pPr>
      <w:numPr>
        <w:ilvl w:val="3"/>
      </w:numPr>
      <w:spacing w:before="120"/>
      <w:outlineLvl w:val="3"/>
    </w:pPr>
    <w:rPr>
      <w:i/>
      <w:sz w:val="20"/>
      <w:szCs w:val="18"/>
    </w:rPr>
  </w:style>
  <w:style w:type="paragraph" w:styleId="Heading5">
    <w:name w:val="heading 5"/>
    <w:basedOn w:val="Normal"/>
    <w:next w:val="BodyText"/>
    <w:uiPriority w:val="9"/>
    <w:qFormat/>
    <w:rsid w:val="00AD6599"/>
    <w:pPr>
      <w:keepNext/>
      <w:keepLines/>
      <w:numPr>
        <w:ilvl w:val="4"/>
        <w:numId w:val="2"/>
      </w:numPr>
      <w:spacing w:before="120" w:after="80"/>
      <w:outlineLvl w:val="4"/>
    </w:pPr>
    <w:rPr>
      <w:rFonts w:ascii="Verdana" w:hAnsi="Verdana"/>
      <w:b/>
      <w:kern w:val="28"/>
      <w:sz w:val="22"/>
      <w:szCs w:val="22"/>
    </w:rPr>
  </w:style>
  <w:style w:type="paragraph" w:styleId="Heading6">
    <w:name w:val="heading 6"/>
    <w:basedOn w:val="Normal"/>
    <w:next w:val="BodyText"/>
    <w:uiPriority w:val="9"/>
    <w:qFormat/>
    <w:rsid w:val="00AD6599"/>
    <w:pPr>
      <w:keepNext/>
      <w:keepLines/>
      <w:numPr>
        <w:ilvl w:val="5"/>
        <w:numId w:val="2"/>
      </w:numPr>
      <w:spacing w:before="120" w:after="80"/>
      <w:outlineLvl w:val="5"/>
    </w:pPr>
    <w:rPr>
      <w:rFonts w:ascii="Arial" w:hAnsi="Arial"/>
      <w:b/>
      <w:i/>
      <w:kern w:val="28"/>
    </w:rPr>
  </w:style>
  <w:style w:type="paragraph" w:styleId="Heading7">
    <w:name w:val="heading 7"/>
    <w:basedOn w:val="Normal"/>
    <w:next w:val="BodyText"/>
    <w:qFormat/>
    <w:rsid w:val="00AD6599"/>
    <w:pPr>
      <w:keepNext/>
      <w:keepLines/>
      <w:numPr>
        <w:ilvl w:val="6"/>
        <w:numId w:val="2"/>
      </w:numPr>
      <w:spacing w:before="80" w:after="60"/>
      <w:outlineLvl w:val="6"/>
    </w:pPr>
    <w:rPr>
      <w:b/>
      <w:kern w:val="28"/>
    </w:rPr>
  </w:style>
  <w:style w:type="paragraph" w:styleId="Heading8">
    <w:name w:val="heading 8"/>
    <w:basedOn w:val="Normal"/>
    <w:next w:val="BodyText"/>
    <w:qFormat/>
    <w:rsid w:val="00AD6599"/>
    <w:pPr>
      <w:keepNext/>
      <w:keepLines/>
      <w:numPr>
        <w:ilvl w:val="7"/>
        <w:numId w:val="2"/>
      </w:numPr>
      <w:spacing w:before="80" w:after="60"/>
      <w:outlineLvl w:val="7"/>
    </w:pPr>
    <w:rPr>
      <w:b/>
      <w:i/>
      <w:kern w:val="28"/>
    </w:rPr>
  </w:style>
  <w:style w:type="paragraph" w:styleId="Heading9">
    <w:name w:val="heading 9"/>
    <w:basedOn w:val="Normal"/>
    <w:next w:val="BodyText"/>
    <w:qFormat/>
    <w:rsid w:val="00AD6599"/>
    <w:pPr>
      <w:keepNext/>
      <w:keepLines/>
      <w:numPr>
        <w:ilvl w:val="8"/>
        <w:numId w:val="2"/>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74332"/>
    <w:pPr>
      <w:tabs>
        <w:tab w:val="left" w:pos="720"/>
        <w:tab w:val="left" w:pos="1418"/>
      </w:tabs>
      <w:spacing w:after="120" w:line="276" w:lineRule="auto"/>
      <w:ind w:left="1411"/>
      <w:jc w:val="both"/>
    </w:pPr>
    <w:rPr>
      <w:rFonts w:ascii="Verdana" w:hAnsi="Verdana"/>
      <w:sz w:val="18"/>
      <w:szCs w:val="18"/>
    </w:rPr>
  </w:style>
  <w:style w:type="paragraph" w:customStyle="1" w:styleId="Referencesagnr">
    <w:name w:val="Reference sag nr."/>
    <w:basedOn w:val="Normal"/>
    <w:next w:val="BodyText"/>
    <w:rsid w:val="00AD6599"/>
    <w:pPr>
      <w:keepNext/>
      <w:keepLines/>
      <w:tabs>
        <w:tab w:val="left" w:pos="6804"/>
      </w:tabs>
      <w:spacing w:after="480"/>
    </w:pPr>
    <w:rPr>
      <w:rFonts w:ascii="Verdana" w:hAnsi="Verdana"/>
      <w:sz w:val="18"/>
      <w:szCs w:val="18"/>
    </w:rPr>
  </w:style>
  <w:style w:type="paragraph" w:styleId="Caption">
    <w:name w:val="caption"/>
    <w:aliases w:val="caption for tables,figures,Beschriftung Char,Beschriftung Char Char Char Char Char,Beschriftung Char Char Char,Figure,Caption-Table,Caption Char1,Caption Char Char,Char1 Char Char,Char1 Char"/>
    <w:basedOn w:val="Normal"/>
    <w:next w:val="BodyText"/>
    <w:link w:val="CaptionChar"/>
    <w:uiPriority w:val="35"/>
    <w:qFormat/>
    <w:rsid w:val="00366637"/>
    <w:pPr>
      <w:tabs>
        <w:tab w:val="left" w:pos="720"/>
        <w:tab w:val="left" w:pos="1418"/>
      </w:tabs>
      <w:spacing w:before="120" w:after="160"/>
      <w:ind w:left="1418" w:hanging="1418"/>
    </w:pPr>
    <w:rPr>
      <w:b/>
      <w:i/>
      <w:sz w:val="18"/>
    </w:rPr>
  </w:style>
  <w:style w:type="paragraph" w:styleId="Date">
    <w:name w:val="Date"/>
    <w:basedOn w:val="BodyText"/>
    <w:next w:val="Normal"/>
    <w:rsid w:val="00AD6599"/>
    <w:pPr>
      <w:tabs>
        <w:tab w:val="left" w:pos="6804"/>
      </w:tabs>
      <w:spacing w:before="480" w:after="0"/>
      <w:ind w:left="6804"/>
    </w:pPr>
  </w:style>
  <w:style w:type="paragraph" w:customStyle="1" w:styleId="Emneoverskrift">
    <w:name w:val="Emneoverskrift"/>
    <w:basedOn w:val="BodyText"/>
    <w:rsid w:val="00AD6599"/>
    <w:pPr>
      <w:tabs>
        <w:tab w:val="left" w:pos="2835"/>
        <w:tab w:val="left" w:pos="4253"/>
        <w:tab w:val="left" w:pos="5670"/>
        <w:tab w:val="left" w:pos="7088"/>
        <w:tab w:val="left" w:pos="8505"/>
      </w:tabs>
    </w:pPr>
  </w:style>
  <w:style w:type="paragraph" w:customStyle="1" w:styleId="Firma">
    <w:name w:val="Firma"/>
    <w:basedOn w:val="BodyText"/>
    <w:next w:val="Normal"/>
    <w:rsid w:val="00AD6599"/>
    <w:pPr>
      <w:spacing w:before="80" w:after="0"/>
    </w:pPr>
    <w:rPr>
      <w:b/>
    </w:rPr>
  </w:style>
  <w:style w:type="paragraph" w:customStyle="1" w:styleId="Firmanavn">
    <w:name w:val="Firmanavn"/>
    <w:basedOn w:val="BodyText"/>
    <w:rsid w:val="00AD6599"/>
    <w:pPr>
      <w:spacing w:after="0"/>
    </w:pPr>
    <w:rPr>
      <w:b/>
      <w:sz w:val="28"/>
      <w:lang w:val="en-US"/>
    </w:rPr>
  </w:style>
  <w:style w:type="paragraph" w:styleId="ListBullet">
    <w:name w:val="List Bullet"/>
    <w:basedOn w:val="Normal"/>
    <w:rsid w:val="00AD6599"/>
    <w:pPr>
      <w:numPr>
        <w:numId w:val="1"/>
      </w:numPr>
      <w:tabs>
        <w:tab w:val="left" w:pos="1418"/>
        <w:tab w:val="left" w:pos="2835"/>
      </w:tabs>
      <w:spacing w:after="160"/>
    </w:pPr>
    <w:rPr>
      <w:rFonts w:ascii="Verdana" w:hAnsi="Verdana"/>
      <w:sz w:val="18"/>
      <w:szCs w:val="18"/>
    </w:rPr>
  </w:style>
  <w:style w:type="paragraph" w:styleId="Footer">
    <w:name w:val="footer"/>
    <w:basedOn w:val="Normal"/>
    <w:link w:val="FooterChar"/>
    <w:uiPriority w:val="99"/>
    <w:rsid w:val="0090488D"/>
    <w:pPr>
      <w:keepLines/>
      <w:tabs>
        <w:tab w:val="center" w:pos="4320"/>
        <w:tab w:val="right" w:pos="8640"/>
      </w:tabs>
    </w:pPr>
    <w:rPr>
      <w:rFonts w:ascii="Verdana" w:hAnsi="Verdana"/>
      <w:sz w:val="18"/>
      <w:szCs w:val="14"/>
    </w:rPr>
  </w:style>
  <w:style w:type="paragraph" w:customStyle="1" w:styleId="Sidefod-frste">
    <w:name w:val="Sidefod - første"/>
    <w:basedOn w:val="Footer"/>
    <w:rsid w:val="00AD6599"/>
    <w:pPr>
      <w:tabs>
        <w:tab w:val="clear" w:pos="8640"/>
      </w:tabs>
      <w:jc w:val="center"/>
    </w:pPr>
  </w:style>
  <w:style w:type="paragraph" w:customStyle="1" w:styleId="Sidefod-lige">
    <w:name w:val="Sidefod - lige"/>
    <w:basedOn w:val="Footer"/>
    <w:rsid w:val="00AD6599"/>
  </w:style>
  <w:style w:type="paragraph" w:customStyle="1" w:styleId="Sidefod-ulige">
    <w:name w:val="Sidefod - ulige"/>
    <w:basedOn w:val="Footer"/>
    <w:rsid w:val="00AD6599"/>
    <w:pPr>
      <w:tabs>
        <w:tab w:val="right" w:pos="0"/>
      </w:tabs>
      <w:jc w:val="right"/>
    </w:pPr>
  </w:style>
  <w:style w:type="paragraph" w:styleId="Header">
    <w:name w:val="header"/>
    <w:basedOn w:val="Normal"/>
    <w:link w:val="HeaderChar"/>
    <w:uiPriority w:val="99"/>
    <w:rsid w:val="009521DC"/>
    <w:pPr>
      <w:keepLines/>
      <w:tabs>
        <w:tab w:val="center" w:pos="4320"/>
        <w:tab w:val="right" w:pos="8640"/>
      </w:tabs>
      <w:jc w:val="center"/>
    </w:pPr>
    <w:rPr>
      <w:rFonts w:ascii="Verdana" w:hAnsi="Verdana"/>
    </w:rPr>
  </w:style>
  <w:style w:type="paragraph" w:customStyle="1" w:styleId="Sidehoved-basis">
    <w:name w:val="Sidehoved - basis"/>
    <w:basedOn w:val="Normal"/>
    <w:rsid w:val="00AD6599"/>
    <w:pPr>
      <w:keepLines/>
      <w:tabs>
        <w:tab w:val="center" w:pos="4320"/>
        <w:tab w:val="right" w:pos="8640"/>
      </w:tabs>
    </w:pPr>
  </w:style>
  <w:style w:type="paragraph" w:customStyle="1" w:styleId="Sidehoved-frste">
    <w:name w:val="Sidehoved - første"/>
    <w:basedOn w:val="Header"/>
    <w:rsid w:val="00AD6599"/>
    <w:pPr>
      <w:tabs>
        <w:tab w:val="clear" w:pos="8640"/>
      </w:tabs>
    </w:pPr>
  </w:style>
  <w:style w:type="paragraph" w:customStyle="1" w:styleId="Sidehoved-lige">
    <w:name w:val="Sidehoved - lige"/>
    <w:basedOn w:val="Header"/>
    <w:rsid w:val="00AD6599"/>
  </w:style>
  <w:style w:type="paragraph" w:customStyle="1" w:styleId="Sidehoved-ulige">
    <w:name w:val="Sidehoved - ulige"/>
    <w:basedOn w:val="Header"/>
    <w:rsid w:val="00AD6599"/>
    <w:pPr>
      <w:tabs>
        <w:tab w:val="right" w:pos="0"/>
      </w:tabs>
      <w:jc w:val="right"/>
    </w:pPr>
  </w:style>
  <w:style w:type="character" w:styleId="PageNumber">
    <w:name w:val="page number"/>
    <w:uiPriority w:val="99"/>
    <w:rsid w:val="00AD6599"/>
    <w:rPr>
      <w:rFonts w:ascii="Verdana" w:hAnsi="Verdana"/>
      <w:i/>
      <w:sz w:val="18"/>
      <w:szCs w:val="18"/>
    </w:rPr>
  </w:style>
  <w:style w:type="paragraph" w:customStyle="1" w:styleId="Deltagere">
    <w:name w:val="Deltagere"/>
    <w:basedOn w:val="Normal"/>
    <w:rsid w:val="00AD6599"/>
    <w:pPr>
      <w:tabs>
        <w:tab w:val="left" w:pos="1418"/>
        <w:tab w:val="left" w:pos="2835"/>
        <w:tab w:val="left" w:pos="4253"/>
        <w:tab w:val="left" w:pos="5670"/>
        <w:tab w:val="left" w:pos="7088"/>
        <w:tab w:val="left" w:pos="8505"/>
      </w:tabs>
    </w:pPr>
    <w:rPr>
      <w:sz w:val="22"/>
    </w:rPr>
  </w:style>
  <w:style w:type="paragraph" w:customStyle="1" w:styleId="Underskrift-navn">
    <w:name w:val="Underskrift - navn"/>
    <w:basedOn w:val="Signature"/>
    <w:next w:val="BodyText"/>
    <w:rsid w:val="00AD6599"/>
    <w:pPr>
      <w:keepNext/>
      <w:ind w:left="0"/>
    </w:pPr>
    <w:rPr>
      <w:rFonts w:ascii="Verdana" w:hAnsi="Verdana"/>
      <w:sz w:val="18"/>
      <w:szCs w:val="18"/>
    </w:rPr>
  </w:style>
  <w:style w:type="paragraph" w:styleId="Closing">
    <w:name w:val="Closing"/>
    <w:basedOn w:val="BodyText"/>
    <w:next w:val="Underskrift-navn"/>
    <w:rsid w:val="00AD6599"/>
    <w:pPr>
      <w:keepNext/>
      <w:tabs>
        <w:tab w:val="clear" w:pos="1418"/>
      </w:tabs>
      <w:spacing w:after="360"/>
      <w:ind w:left="0"/>
    </w:pPr>
  </w:style>
  <w:style w:type="paragraph" w:styleId="Signature">
    <w:name w:val="Signature"/>
    <w:basedOn w:val="Normal"/>
    <w:rsid w:val="00AD6599"/>
    <w:pPr>
      <w:ind w:left="4252"/>
    </w:pPr>
  </w:style>
  <w:style w:type="paragraph" w:styleId="TOC1">
    <w:name w:val="toc 1"/>
    <w:basedOn w:val="Normal"/>
    <w:next w:val="Normal"/>
    <w:autoRedefine/>
    <w:uiPriority w:val="39"/>
    <w:rsid w:val="009D7C53"/>
    <w:pPr>
      <w:tabs>
        <w:tab w:val="right" w:leader="dot" w:pos="9617"/>
      </w:tabs>
      <w:spacing w:before="120" w:after="120"/>
    </w:pPr>
    <w:rPr>
      <w:rFonts w:asciiTheme="minorHAnsi" w:hAnsiTheme="minorHAnsi"/>
      <w:b/>
      <w:bCs/>
      <w:caps/>
    </w:rPr>
  </w:style>
  <w:style w:type="paragraph" w:customStyle="1" w:styleId="Forside1">
    <w:name w:val="Forside 1"/>
    <w:basedOn w:val="Normal"/>
    <w:rsid w:val="006313EA"/>
    <w:rPr>
      <w:rFonts w:ascii="Verdana" w:hAnsi="Verdana"/>
      <w:sz w:val="48"/>
    </w:rPr>
  </w:style>
  <w:style w:type="paragraph" w:customStyle="1" w:styleId="Forside2">
    <w:name w:val="Forside 2"/>
    <w:basedOn w:val="Forside1"/>
    <w:rsid w:val="00C02910"/>
    <w:rPr>
      <w:color w:val="548DD4" w:themeColor="text2" w:themeTint="99"/>
      <w:sz w:val="36"/>
    </w:rPr>
  </w:style>
  <w:style w:type="paragraph" w:styleId="TOC2">
    <w:name w:val="toc 2"/>
    <w:basedOn w:val="Normal"/>
    <w:next w:val="Normal"/>
    <w:autoRedefine/>
    <w:uiPriority w:val="39"/>
    <w:rsid w:val="00D11119"/>
    <w:pPr>
      <w:ind w:left="200"/>
    </w:pPr>
    <w:rPr>
      <w:rFonts w:asciiTheme="minorHAnsi" w:hAnsiTheme="minorHAnsi"/>
      <w:smallCaps/>
    </w:rPr>
  </w:style>
  <w:style w:type="paragraph" w:styleId="BalloonText">
    <w:name w:val="Balloon Text"/>
    <w:basedOn w:val="Normal"/>
    <w:link w:val="BalloonTextChar"/>
    <w:uiPriority w:val="99"/>
    <w:semiHidden/>
    <w:unhideWhenUsed/>
    <w:rsid w:val="000C5D34"/>
    <w:rPr>
      <w:rFonts w:ascii="Tahoma" w:hAnsi="Tahoma" w:cs="Tahoma"/>
      <w:sz w:val="16"/>
      <w:szCs w:val="16"/>
    </w:rPr>
  </w:style>
  <w:style w:type="paragraph" w:customStyle="1" w:styleId="Forside3">
    <w:name w:val="Forside 3"/>
    <w:basedOn w:val="Forside2"/>
    <w:rsid w:val="00CC76DA"/>
    <w:rPr>
      <w:sz w:val="28"/>
    </w:rPr>
  </w:style>
  <w:style w:type="character" w:customStyle="1" w:styleId="BalloonTextChar">
    <w:name w:val="Balloon Text Char"/>
    <w:basedOn w:val="DefaultParagraphFont"/>
    <w:link w:val="BalloonText"/>
    <w:uiPriority w:val="99"/>
    <w:semiHidden/>
    <w:rsid w:val="000C5D34"/>
    <w:rPr>
      <w:rFonts w:ascii="Tahoma" w:hAnsi="Tahoma" w:cs="Tahoma"/>
      <w:sz w:val="16"/>
      <w:szCs w:val="16"/>
      <w:lang w:val="en-GB"/>
    </w:rPr>
  </w:style>
  <w:style w:type="character" w:customStyle="1" w:styleId="FooterChar">
    <w:name w:val="Footer Char"/>
    <w:basedOn w:val="DefaultParagraphFont"/>
    <w:link w:val="Footer"/>
    <w:uiPriority w:val="99"/>
    <w:rsid w:val="0090488D"/>
    <w:rPr>
      <w:rFonts w:ascii="Verdana" w:hAnsi="Verdana"/>
      <w:sz w:val="18"/>
      <w:szCs w:val="14"/>
      <w:lang w:val="en-GB"/>
    </w:rPr>
  </w:style>
  <w:style w:type="paragraph" w:styleId="TOC3">
    <w:name w:val="toc 3"/>
    <w:basedOn w:val="Normal"/>
    <w:next w:val="Normal"/>
    <w:autoRedefine/>
    <w:uiPriority w:val="39"/>
    <w:unhideWhenUsed/>
    <w:rsid w:val="006C6769"/>
    <w:pPr>
      <w:ind w:left="400"/>
    </w:pPr>
    <w:rPr>
      <w:rFonts w:asciiTheme="minorHAnsi" w:hAnsiTheme="minorHAnsi"/>
      <w:i/>
      <w:iCs/>
    </w:rPr>
  </w:style>
  <w:style w:type="paragraph" w:styleId="TOC4">
    <w:name w:val="toc 4"/>
    <w:basedOn w:val="Normal"/>
    <w:next w:val="Normal"/>
    <w:autoRedefine/>
    <w:uiPriority w:val="39"/>
    <w:unhideWhenUsed/>
    <w:rsid w:val="006C6769"/>
    <w:pPr>
      <w:ind w:left="600"/>
    </w:pPr>
    <w:rPr>
      <w:rFonts w:asciiTheme="minorHAnsi" w:hAnsiTheme="minorHAnsi"/>
      <w:sz w:val="18"/>
      <w:szCs w:val="18"/>
    </w:rPr>
  </w:style>
  <w:style w:type="paragraph" w:styleId="TOC5">
    <w:name w:val="toc 5"/>
    <w:basedOn w:val="Normal"/>
    <w:next w:val="Normal"/>
    <w:autoRedefine/>
    <w:uiPriority w:val="39"/>
    <w:unhideWhenUsed/>
    <w:rsid w:val="006C6769"/>
    <w:pPr>
      <w:ind w:left="800"/>
    </w:pPr>
    <w:rPr>
      <w:rFonts w:asciiTheme="minorHAnsi" w:hAnsiTheme="minorHAnsi"/>
      <w:sz w:val="18"/>
      <w:szCs w:val="18"/>
    </w:rPr>
  </w:style>
  <w:style w:type="paragraph" w:styleId="TOC6">
    <w:name w:val="toc 6"/>
    <w:basedOn w:val="Normal"/>
    <w:next w:val="Normal"/>
    <w:autoRedefine/>
    <w:uiPriority w:val="39"/>
    <w:unhideWhenUsed/>
    <w:rsid w:val="006C6769"/>
    <w:pPr>
      <w:ind w:left="1000"/>
    </w:pPr>
    <w:rPr>
      <w:rFonts w:asciiTheme="minorHAnsi" w:hAnsiTheme="minorHAnsi"/>
      <w:sz w:val="18"/>
      <w:szCs w:val="18"/>
    </w:rPr>
  </w:style>
  <w:style w:type="paragraph" w:styleId="TOC7">
    <w:name w:val="toc 7"/>
    <w:basedOn w:val="Normal"/>
    <w:next w:val="Normal"/>
    <w:autoRedefine/>
    <w:uiPriority w:val="39"/>
    <w:unhideWhenUsed/>
    <w:rsid w:val="006C6769"/>
    <w:pPr>
      <w:ind w:left="1200"/>
    </w:pPr>
    <w:rPr>
      <w:rFonts w:asciiTheme="minorHAnsi" w:hAnsiTheme="minorHAnsi"/>
      <w:sz w:val="18"/>
      <w:szCs w:val="18"/>
    </w:rPr>
  </w:style>
  <w:style w:type="paragraph" w:styleId="TOC8">
    <w:name w:val="toc 8"/>
    <w:basedOn w:val="Normal"/>
    <w:next w:val="Normal"/>
    <w:autoRedefine/>
    <w:uiPriority w:val="39"/>
    <w:unhideWhenUsed/>
    <w:rsid w:val="006C6769"/>
    <w:pPr>
      <w:ind w:left="1400"/>
    </w:pPr>
    <w:rPr>
      <w:rFonts w:asciiTheme="minorHAnsi" w:hAnsiTheme="minorHAnsi"/>
      <w:sz w:val="18"/>
      <w:szCs w:val="18"/>
    </w:rPr>
  </w:style>
  <w:style w:type="paragraph" w:styleId="TOC9">
    <w:name w:val="toc 9"/>
    <w:basedOn w:val="Normal"/>
    <w:next w:val="Normal"/>
    <w:autoRedefine/>
    <w:uiPriority w:val="39"/>
    <w:unhideWhenUsed/>
    <w:rsid w:val="006C6769"/>
    <w:pPr>
      <w:ind w:left="1600"/>
    </w:pPr>
    <w:rPr>
      <w:rFonts w:asciiTheme="minorHAnsi" w:hAnsiTheme="minorHAnsi"/>
      <w:sz w:val="18"/>
      <w:szCs w:val="18"/>
    </w:rPr>
  </w:style>
  <w:style w:type="character" w:styleId="Hyperlink">
    <w:name w:val="Hyperlink"/>
    <w:basedOn w:val="DefaultParagraphFont"/>
    <w:uiPriority w:val="99"/>
    <w:unhideWhenUsed/>
    <w:rsid w:val="006C6769"/>
    <w:rPr>
      <w:rFonts w:ascii="Verdana" w:hAnsi="Verdana"/>
      <w:color w:val="92D050"/>
      <w:u w:val="single"/>
    </w:rPr>
  </w:style>
  <w:style w:type="paragraph" w:customStyle="1" w:styleId="TypografiForside125pkt">
    <w:name w:val="Typografi Forside 1 + 25 pkt"/>
    <w:basedOn w:val="Forside1"/>
    <w:rsid w:val="00864F03"/>
    <w:rPr>
      <w:color w:val="808080" w:themeColor="background1" w:themeShade="80"/>
      <w:sz w:val="50"/>
    </w:rPr>
  </w:style>
  <w:style w:type="character" w:customStyle="1" w:styleId="StyleVerdana12ptBoldLightGreen">
    <w:name w:val="Style Verdana 12 pt Bold Light Green"/>
    <w:basedOn w:val="DefaultParagraphFont"/>
    <w:rsid w:val="00C02910"/>
    <w:rPr>
      <w:rFonts w:ascii="Verdana" w:hAnsi="Verdana"/>
      <w:b/>
      <w:bCs/>
      <w:color w:val="548DD4" w:themeColor="text2" w:themeTint="99"/>
      <w:sz w:val="24"/>
    </w:rPr>
  </w:style>
  <w:style w:type="paragraph" w:styleId="ListParagraph">
    <w:name w:val="List Paragraph"/>
    <w:aliases w:val="Main numbered paragraph,Bullet,List Paragraph1,Dot pt,Bullet Points,No Spacing1,List Paragraph Char Char Char,Indicator Text,Numbered Para 1,MAIN CONTENT,List Paragraph12,OBC Bullet,F5 List Paragraph,Colorful List - Accent 11,Bullet List"/>
    <w:basedOn w:val="Normal"/>
    <w:link w:val="ListParagraphChar"/>
    <w:uiPriority w:val="34"/>
    <w:qFormat/>
    <w:rsid w:val="00F87875"/>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n-US" w:eastAsia="en-US"/>
    </w:rPr>
  </w:style>
  <w:style w:type="paragraph" w:styleId="FootnoteText">
    <w:name w:val="footnote text"/>
    <w:aliases w:val="fn,single space,footnote text,FOOTNOTES,F,FT,Footnote Text Char1,Footnote Text Char Char,Footnote Text Char1 Char Char,Footnote Text Char Char1 Char Char,FT Char Char1 Char Char,fn Char Char Char Char,FT Char Char,fn Char Char,Car1 Car1,f"/>
    <w:basedOn w:val="Normal"/>
    <w:link w:val="FootnoteTextChar"/>
    <w:uiPriority w:val="99"/>
    <w:unhideWhenUsed/>
    <w:qFormat/>
    <w:rsid w:val="006F33D9"/>
    <w:rPr>
      <w:rFonts w:ascii="Verdana" w:hAnsi="Verdana"/>
      <w:sz w:val="16"/>
    </w:rPr>
  </w:style>
  <w:style w:type="character" w:customStyle="1" w:styleId="FootnoteTextChar">
    <w:name w:val="Footnote Text Char"/>
    <w:aliases w:val="fn Char,single space Char,footnote text Char,FOOTNOTES Char,F Char,FT Char,Footnote Text Char1 Char,Footnote Text Char Char Char,Footnote Text Char1 Char Char Char,Footnote Text Char Char1 Char Char Char,FT Char Char1 Char Char Char"/>
    <w:basedOn w:val="DefaultParagraphFont"/>
    <w:link w:val="FootnoteText"/>
    <w:uiPriority w:val="99"/>
    <w:qFormat/>
    <w:rsid w:val="006F33D9"/>
    <w:rPr>
      <w:rFonts w:ascii="Verdana" w:hAnsi="Verdana"/>
      <w:sz w:val="16"/>
      <w:lang w:val="en-GB"/>
    </w:rPr>
  </w:style>
  <w:style w:type="character" w:styleId="FootnoteReference">
    <w:name w:val="footnote reference"/>
    <w:aliases w:val="ftref,16 Point,Superscript 6 Point,SUPERS,Footnote reference number,Footnote symbol,note TESI,-E Fußnotenzeichen,number,BVI fnr,Footnote Reference Superscript,(Footnote Reference),Source Reference,Footnote,Times 10 Point,Ref,no...,fr"/>
    <w:basedOn w:val="DefaultParagraphFont"/>
    <w:link w:val="CharCharCharCharCarChar"/>
    <w:uiPriority w:val="99"/>
    <w:unhideWhenUsed/>
    <w:qFormat/>
    <w:rsid w:val="000D53A1"/>
    <w:rPr>
      <w:vertAlign w:val="superscript"/>
    </w:rPr>
  </w:style>
  <w:style w:type="table" w:styleId="TableGrid">
    <w:name w:val="Table Grid"/>
    <w:basedOn w:val="TableNormal"/>
    <w:uiPriority w:val="39"/>
    <w:rsid w:val="00DA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C33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4C33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yle1">
    <w:name w:val="Style1"/>
    <w:basedOn w:val="Normal"/>
    <w:qFormat/>
    <w:rsid w:val="00033042"/>
    <w:pPr>
      <w:overflowPunct/>
      <w:autoSpaceDE/>
      <w:autoSpaceDN/>
      <w:adjustRightInd/>
      <w:spacing w:after="200" w:line="276" w:lineRule="auto"/>
      <w:jc w:val="both"/>
      <w:textAlignment w:val="auto"/>
    </w:pPr>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unhideWhenUsed/>
    <w:rsid w:val="00552BE5"/>
    <w:rPr>
      <w:sz w:val="16"/>
      <w:szCs w:val="16"/>
    </w:rPr>
  </w:style>
  <w:style w:type="paragraph" w:styleId="CommentText">
    <w:name w:val="annotation text"/>
    <w:basedOn w:val="Normal"/>
    <w:link w:val="CommentTextChar"/>
    <w:uiPriority w:val="99"/>
    <w:unhideWhenUsed/>
    <w:rsid w:val="00552BE5"/>
    <w:pPr>
      <w:widowControl w:val="0"/>
      <w:overflowPunct/>
      <w:autoSpaceDE/>
      <w:autoSpaceDN/>
      <w:adjustRightInd/>
      <w:spacing w:after="200"/>
      <w:textAlignment w:val="auto"/>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552BE5"/>
    <w:rPr>
      <w:rFonts w:asciiTheme="minorHAnsi" w:eastAsiaTheme="minorHAnsi" w:hAnsiTheme="minorHAnsi" w:cstheme="minorBidi"/>
      <w:lang w:val="en-US" w:eastAsia="en-US"/>
    </w:rPr>
  </w:style>
  <w:style w:type="table" w:customStyle="1" w:styleId="GridTable3-Accent11">
    <w:name w:val="Grid Table 3 - Accent 11"/>
    <w:basedOn w:val="TableNormal"/>
    <w:uiPriority w:val="48"/>
    <w:rsid w:val="00464D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11">
    <w:name w:val="Grid Table 1 Light - Accent 11"/>
    <w:basedOn w:val="TableNormal"/>
    <w:uiPriority w:val="46"/>
    <w:rsid w:val="00464D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464D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59264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59264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NormalWeb">
    <w:name w:val="Normal (Web)"/>
    <w:basedOn w:val="Normal"/>
    <w:uiPriority w:val="99"/>
    <w:unhideWhenUsed/>
    <w:rsid w:val="002742E1"/>
    <w:pPr>
      <w:overflowPunct/>
      <w:autoSpaceDE/>
      <w:autoSpaceDN/>
      <w:adjustRightInd/>
      <w:spacing w:before="100" w:beforeAutospacing="1" w:after="100" w:afterAutospacing="1"/>
      <w:textAlignment w:val="auto"/>
    </w:pPr>
    <w:rPr>
      <w:sz w:val="24"/>
      <w:szCs w:val="24"/>
      <w:lang w:eastAsia="en-GB"/>
    </w:rPr>
  </w:style>
  <w:style w:type="paragraph" w:styleId="EndnoteText">
    <w:name w:val="endnote text"/>
    <w:basedOn w:val="Normal"/>
    <w:link w:val="EndnoteTextChar"/>
    <w:uiPriority w:val="99"/>
    <w:semiHidden/>
    <w:unhideWhenUsed/>
    <w:rsid w:val="00C53B59"/>
  </w:style>
  <w:style w:type="character" w:customStyle="1" w:styleId="EndnoteTextChar">
    <w:name w:val="Endnote Text Char"/>
    <w:basedOn w:val="DefaultParagraphFont"/>
    <w:link w:val="EndnoteText"/>
    <w:uiPriority w:val="99"/>
    <w:semiHidden/>
    <w:rsid w:val="00C53B59"/>
    <w:rPr>
      <w:lang w:val="en-GB"/>
    </w:rPr>
  </w:style>
  <w:style w:type="character" w:styleId="EndnoteReference">
    <w:name w:val="endnote reference"/>
    <w:basedOn w:val="DefaultParagraphFont"/>
    <w:uiPriority w:val="99"/>
    <w:semiHidden/>
    <w:unhideWhenUsed/>
    <w:rsid w:val="00C53B59"/>
    <w:rPr>
      <w:vertAlign w:val="superscript"/>
    </w:rPr>
  </w:style>
  <w:style w:type="character" w:styleId="Emphasis">
    <w:name w:val="Emphasis"/>
    <w:qFormat/>
    <w:rsid w:val="00746671"/>
    <w:rPr>
      <w:rFonts w:ascii="Verdana" w:hAnsi="Verdana"/>
      <w:b/>
      <w:noProof w:val="0"/>
      <w:sz w:val="18"/>
      <w:szCs w:val="18"/>
      <w:lang w:val="da-DK"/>
    </w:rPr>
  </w:style>
  <w:style w:type="paragraph" w:styleId="CommentSubject">
    <w:name w:val="annotation subject"/>
    <w:basedOn w:val="CommentText"/>
    <w:next w:val="CommentText"/>
    <w:link w:val="CommentSubjectChar"/>
    <w:uiPriority w:val="99"/>
    <w:semiHidden/>
    <w:unhideWhenUsed/>
    <w:rsid w:val="00FE7C74"/>
    <w:pPr>
      <w:widowControl/>
      <w:overflowPunct w:val="0"/>
      <w:autoSpaceDE w:val="0"/>
      <w:autoSpaceDN w:val="0"/>
      <w:adjustRightInd w:val="0"/>
      <w:spacing w:after="0"/>
      <w:textAlignment w:val="baseline"/>
    </w:pPr>
    <w:rPr>
      <w:rFonts w:ascii="Times New Roman" w:eastAsia="Times New Roman" w:hAnsi="Times New Roman" w:cs="Times New Roman"/>
      <w:b/>
      <w:bCs/>
      <w:lang w:val="en-GB" w:eastAsia="da-DK"/>
    </w:rPr>
  </w:style>
  <w:style w:type="character" w:customStyle="1" w:styleId="CommentSubjectChar">
    <w:name w:val="Comment Subject Char"/>
    <w:basedOn w:val="CommentTextChar"/>
    <w:link w:val="CommentSubject"/>
    <w:uiPriority w:val="99"/>
    <w:semiHidden/>
    <w:rsid w:val="00FE7C74"/>
    <w:rPr>
      <w:rFonts w:asciiTheme="minorHAnsi" w:eastAsiaTheme="minorHAnsi" w:hAnsiTheme="minorHAnsi" w:cstheme="minorBidi"/>
      <w:b/>
      <w:bCs/>
      <w:lang w:val="en-GB" w:eastAsia="en-US"/>
    </w:rPr>
  </w:style>
  <w:style w:type="paragraph" w:customStyle="1" w:styleId="DecimalAligned">
    <w:name w:val="Decimal Aligned"/>
    <w:basedOn w:val="Normal"/>
    <w:uiPriority w:val="40"/>
    <w:qFormat/>
    <w:rsid w:val="00B52C37"/>
    <w:pPr>
      <w:tabs>
        <w:tab w:val="decimal" w:pos="360"/>
      </w:tabs>
      <w:overflowPunct/>
      <w:autoSpaceDE/>
      <w:autoSpaceDN/>
      <w:adjustRightInd/>
      <w:spacing w:after="200" w:line="276" w:lineRule="auto"/>
      <w:textAlignment w:val="auto"/>
    </w:pPr>
    <w:rPr>
      <w:rFonts w:asciiTheme="minorHAnsi" w:eastAsiaTheme="minorEastAsia" w:hAnsiTheme="minorHAnsi"/>
      <w:sz w:val="22"/>
      <w:szCs w:val="22"/>
      <w:lang w:eastAsia="en-GB"/>
    </w:rPr>
  </w:style>
  <w:style w:type="character" w:styleId="SubtleEmphasis">
    <w:name w:val="Subtle Emphasis"/>
    <w:basedOn w:val="DefaultParagraphFont"/>
    <w:uiPriority w:val="19"/>
    <w:qFormat/>
    <w:rsid w:val="00B52C37"/>
    <w:rPr>
      <w:i/>
      <w:iCs/>
    </w:rPr>
  </w:style>
  <w:style w:type="character" w:styleId="PlaceholderText">
    <w:name w:val="Placeholder Text"/>
    <w:basedOn w:val="DefaultParagraphFont"/>
    <w:uiPriority w:val="99"/>
    <w:semiHidden/>
    <w:rsid w:val="00DC7176"/>
    <w:rPr>
      <w:color w:val="808080"/>
    </w:rPr>
  </w:style>
  <w:style w:type="character" w:customStyle="1" w:styleId="BodyTextChar">
    <w:name w:val="Body Text Char"/>
    <w:basedOn w:val="DefaultParagraphFont"/>
    <w:link w:val="BodyText"/>
    <w:uiPriority w:val="99"/>
    <w:rsid w:val="00E74332"/>
    <w:rPr>
      <w:rFonts w:ascii="Verdana" w:hAnsi="Verdana"/>
      <w:sz w:val="18"/>
      <w:szCs w:val="18"/>
      <w:lang w:val="en-GB"/>
    </w:rPr>
  </w:style>
  <w:style w:type="paragraph" w:styleId="TableofFigures">
    <w:name w:val="table of figures"/>
    <w:basedOn w:val="Normal"/>
    <w:next w:val="Normal"/>
    <w:uiPriority w:val="99"/>
    <w:unhideWhenUsed/>
    <w:rsid w:val="00397606"/>
    <w:rPr>
      <w:rFonts w:ascii="Verdana" w:hAnsi="Verdana"/>
      <w:sz w:val="18"/>
    </w:rPr>
  </w:style>
  <w:style w:type="table" w:styleId="GridTable5Dark-Accent1">
    <w:name w:val="Grid Table 5 Dark Accent 1"/>
    <w:basedOn w:val="TableNormal"/>
    <w:uiPriority w:val="50"/>
    <w:rsid w:val="003529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MediumList2-Accent1">
    <w:name w:val="Medium List 2 Accent 1"/>
    <w:basedOn w:val="TableNormal"/>
    <w:uiPriority w:val="66"/>
    <w:rsid w:val="00367531"/>
    <w:rPr>
      <w:rFonts w:asciiTheme="majorHAnsi" w:eastAsiaTheme="majorEastAsia" w:hAnsiTheme="majorHAnsi" w:cstheme="majorBidi"/>
      <w:color w:val="000000" w:themeColor="text1"/>
      <w:sz w:val="22"/>
      <w:szCs w:val="22"/>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367531"/>
    <w:pPr>
      <w:spacing w:before="120" w:after="120"/>
    </w:pPr>
    <w:rPr>
      <w:rFonts w:ascii="Arial" w:eastAsia="Arial Unicode MS" w:hAnsi="Arial"/>
      <w:color w:val="1F497D" w:themeColor="text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D17918"/>
    <w:rPr>
      <w:b/>
      <w:color w:val="548DD4" w:themeColor="text2" w:themeTint="99"/>
      <w:kern w:val="28"/>
      <w:sz w:val="40"/>
      <w:lang w:val="en-GB"/>
    </w:rPr>
  </w:style>
  <w:style w:type="paragraph" w:styleId="Bibliography">
    <w:name w:val="Bibliography"/>
    <w:basedOn w:val="Normal"/>
    <w:next w:val="Normal"/>
    <w:uiPriority w:val="37"/>
    <w:unhideWhenUsed/>
    <w:rsid w:val="0065627E"/>
  </w:style>
  <w:style w:type="character" w:customStyle="1" w:styleId="Heading2Char">
    <w:name w:val="Heading 2 Char"/>
    <w:basedOn w:val="DefaultParagraphFont"/>
    <w:link w:val="Heading2"/>
    <w:uiPriority w:val="9"/>
    <w:rsid w:val="00D17918"/>
    <w:rPr>
      <w:b/>
      <w:i/>
      <w:color w:val="548DD4" w:themeColor="text2" w:themeTint="99"/>
      <w:kern w:val="28"/>
      <w:sz w:val="36"/>
      <w:szCs w:val="18"/>
      <w:lang w:val="en-GB"/>
    </w:rPr>
  </w:style>
  <w:style w:type="paragraph" w:styleId="TOCHeading">
    <w:name w:val="TOC Heading"/>
    <w:basedOn w:val="Heading1"/>
    <w:next w:val="Normal"/>
    <w:uiPriority w:val="39"/>
    <w:unhideWhenUsed/>
    <w:qFormat/>
    <w:rsid w:val="00A0330C"/>
    <w:pPr>
      <w:numPr>
        <w:numId w:val="0"/>
      </w:numPr>
      <w:tabs>
        <w:tab w:val="clear" w:pos="1418"/>
      </w:tabs>
      <w:overflowPunct/>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Revision">
    <w:name w:val="Revision"/>
    <w:hidden/>
    <w:uiPriority w:val="99"/>
    <w:semiHidden/>
    <w:rsid w:val="00D140A4"/>
    <w:rPr>
      <w:lang w:val="en-GB"/>
    </w:rPr>
  </w:style>
  <w:style w:type="table" w:styleId="GridTable4-Accent1">
    <w:name w:val="Grid Table 4 Accent 1"/>
    <w:basedOn w:val="TableNormal"/>
    <w:uiPriority w:val="49"/>
    <w:rsid w:val="00C80F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566B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257ACE"/>
    <w:rPr>
      <w:color w:val="808080"/>
      <w:shd w:val="clear" w:color="auto" w:fill="E6E6E6"/>
    </w:rPr>
  </w:style>
  <w:style w:type="character" w:styleId="FollowedHyperlink">
    <w:name w:val="FollowedHyperlink"/>
    <w:basedOn w:val="DefaultParagraphFont"/>
    <w:uiPriority w:val="99"/>
    <w:semiHidden/>
    <w:unhideWhenUsed/>
    <w:rsid w:val="000F375D"/>
    <w:rPr>
      <w:color w:val="800080" w:themeColor="followedHyperlink"/>
      <w:u w:val="single"/>
    </w:rPr>
  </w:style>
  <w:style w:type="paragraph" w:customStyle="1" w:styleId="Heading1wSubheading">
    <w:name w:val="Heading 1 w/Subheading"/>
    <w:basedOn w:val="Heading1"/>
    <w:next w:val="Normal"/>
    <w:rsid w:val="00903F32"/>
    <w:pPr>
      <w:keepLines w:val="0"/>
      <w:pageBreakBefore/>
      <w:tabs>
        <w:tab w:val="clear" w:pos="1418"/>
      </w:tabs>
      <w:overflowPunct/>
      <w:autoSpaceDE/>
      <w:autoSpaceDN/>
      <w:adjustRightInd/>
      <w:spacing w:before="0" w:after="180" w:line="0" w:lineRule="atLeast"/>
      <w:ind w:left="533" w:hanging="533"/>
      <w:textAlignment w:val="auto"/>
    </w:pPr>
    <w:rPr>
      <w:rFonts w:asciiTheme="majorHAnsi" w:eastAsiaTheme="majorEastAsia" w:hAnsiTheme="majorHAnsi" w:cstheme="majorBidi"/>
      <w:b w:val="0"/>
      <w:color w:val="auto"/>
      <w:kern w:val="0"/>
      <w:sz w:val="60"/>
      <w:szCs w:val="32"/>
      <w:lang w:val="en-US" w:eastAsia="en-US"/>
    </w:rPr>
  </w:style>
  <w:style w:type="character" w:customStyle="1" w:styleId="CaptionChar">
    <w:name w:val="Caption Char"/>
    <w:aliases w:val="caption for tables Char,figures Char,Beschriftung Char Char,Beschriftung Char Char Char Char Char Char,Beschriftung Char Char Char Char,Figure Char,Caption-Table Char,Caption Char1 Char,Caption Char Char Char,Char1 Char Char Char"/>
    <w:basedOn w:val="DefaultParagraphFont"/>
    <w:link w:val="Caption"/>
    <w:uiPriority w:val="35"/>
    <w:rsid w:val="00366637"/>
    <w:rPr>
      <w:b/>
      <w:i/>
      <w:sz w:val="18"/>
      <w:lang w:val="en-GB"/>
    </w:rPr>
  </w:style>
  <w:style w:type="character" w:customStyle="1" w:styleId="apple-converted-space">
    <w:name w:val="apple-converted-space"/>
    <w:basedOn w:val="DefaultParagraphFont"/>
    <w:rsid w:val="00B32E44"/>
  </w:style>
  <w:style w:type="character" w:customStyle="1" w:styleId="ListParagraphChar">
    <w:name w:val="List Paragraph Char"/>
    <w:aliases w:val="Main numbered paragraph Char,Bullet Char,List Paragraph1 Char,Dot pt Char,Bullet Points Char,No Spacing1 Char,List Paragraph Char Char Char Char,Indicator Text Char,Numbered Para 1 Char,MAIN CONTENT Char,List Paragraph12 Char"/>
    <w:basedOn w:val="DefaultParagraphFont"/>
    <w:link w:val="ListParagraph"/>
    <w:uiPriority w:val="34"/>
    <w:qFormat/>
    <w:locked/>
    <w:rsid w:val="001277B3"/>
    <w:rPr>
      <w:rFonts w:asciiTheme="minorHAnsi" w:eastAsiaTheme="minorHAnsi" w:hAnsiTheme="minorHAnsi" w:cstheme="minorBidi"/>
      <w:sz w:val="22"/>
      <w:szCs w:val="22"/>
      <w:lang w:val="en-US" w:eastAsia="en-US"/>
    </w:rPr>
  </w:style>
  <w:style w:type="paragraph" w:customStyle="1" w:styleId="Default">
    <w:name w:val="Default"/>
    <w:rsid w:val="00F10408"/>
    <w:pPr>
      <w:autoSpaceDE w:val="0"/>
      <w:autoSpaceDN w:val="0"/>
      <w:adjustRightInd w:val="0"/>
    </w:pPr>
    <w:rPr>
      <w:rFonts w:ascii="Calibri" w:hAnsi="Calibri" w:cs="Calibri"/>
      <w:color w:val="000000"/>
      <w:sz w:val="24"/>
      <w:szCs w:val="24"/>
      <w:lang w:val="en-IN"/>
    </w:rPr>
  </w:style>
  <w:style w:type="character" w:styleId="Strong">
    <w:name w:val="Strong"/>
    <w:basedOn w:val="DefaultParagraphFont"/>
    <w:uiPriority w:val="22"/>
    <w:qFormat/>
    <w:rsid w:val="00E834AF"/>
    <w:rPr>
      <w:b/>
      <w:bCs/>
    </w:rPr>
  </w:style>
  <w:style w:type="paragraph" w:styleId="Title">
    <w:name w:val="Title"/>
    <w:basedOn w:val="Normal"/>
    <w:next w:val="Normal"/>
    <w:link w:val="TitleChar"/>
    <w:uiPriority w:val="10"/>
    <w:qFormat/>
    <w:rsid w:val="00781F3F"/>
    <w:pPr>
      <w:overflowPunct/>
      <w:autoSpaceDE/>
      <w:autoSpaceDN/>
      <w:adjustRightInd/>
      <w:spacing w:after="80"/>
      <w:textAlignment w:val="auto"/>
    </w:pPr>
    <w:rPr>
      <w:rFonts w:ascii="Play" w:eastAsia="Play" w:hAnsi="Play" w:cs="Play"/>
      <w:sz w:val="56"/>
      <w:szCs w:val="56"/>
      <w:lang w:val="en-US" w:eastAsia="en-IN"/>
    </w:rPr>
  </w:style>
  <w:style w:type="character" w:customStyle="1" w:styleId="TitleChar">
    <w:name w:val="Title Char"/>
    <w:basedOn w:val="DefaultParagraphFont"/>
    <w:link w:val="Title"/>
    <w:uiPriority w:val="10"/>
    <w:rsid w:val="00781F3F"/>
    <w:rPr>
      <w:rFonts w:ascii="Play" w:eastAsia="Play" w:hAnsi="Play" w:cs="Play"/>
      <w:sz w:val="56"/>
      <w:szCs w:val="56"/>
      <w:lang w:val="en-US" w:eastAsia="en-IN"/>
    </w:rPr>
  </w:style>
  <w:style w:type="paragraph" w:styleId="Subtitle">
    <w:name w:val="Subtitle"/>
    <w:basedOn w:val="Normal"/>
    <w:next w:val="Normal"/>
    <w:link w:val="SubtitleChar"/>
    <w:uiPriority w:val="11"/>
    <w:qFormat/>
    <w:rsid w:val="00781F3F"/>
    <w:pPr>
      <w:overflowPunct/>
      <w:autoSpaceDE/>
      <w:autoSpaceDN/>
      <w:adjustRightInd/>
      <w:textAlignment w:val="auto"/>
    </w:pPr>
    <w:rPr>
      <w:color w:val="595959"/>
      <w:sz w:val="28"/>
      <w:szCs w:val="28"/>
      <w:lang w:val="en-US" w:eastAsia="en-IN"/>
    </w:rPr>
  </w:style>
  <w:style w:type="character" w:customStyle="1" w:styleId="SubtitleChar">
    <w:name w:val="Subtitle Char"/>
    <w:basedOn w:val="DefaultParagraphFont"/>
    <w:link w:val="Subtitle"/>
    <w:uiPriority w:val="11"/>
    <w:rsid w:val="00781F3F"/>
    <w:rPr>
      <w:color w:val="595959"/>
      <w:sz w:val="28"/>
      <w:szCs w:val="28"/>
      <w:lang w:val="en-US" w:eastAsia="en-IN"/>
    </w:rPr>
  </w:style>
  <w:style w:type="numbering" w:customStyle="1" w:styleId="NoList1">
    <w:name w:val="No List1"/>
    <w:next w:val="NoList"/>
    <w:uiPriority w:val="99"/>
    <w:semiHidden/>
    <w:unhideWhenUsed/>
    <w:rsid w:val="00781F3F"/>
  </w:style>
  <w:style w:type="table" w:customStyle="1" w:styleId="TableGrid1">
    <w:name w:val="Table Grid1"/>
    <w:basedOn w:val="TableNormal"/>
    <w:next w:val="TableGrid"/>
    <w:uiPriority w:val="39"/>
    <w:rsid w:val="00781F3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81F3F"/>
    <w:rPr>
      <w:rFonts w:ascii="Verdana" w:hAnsi="Verdana"/>
      <w:lang w:val="en-GB"/>
    </w:rPr>
  </w:style>
  <w:style w:type="paragraph" w:styleId="BlockText">
    <w:name w:val="Block Text"/>
    <w:basedOn w:val="Normal"/>
    <w:uiPriority w:val="99"/>
    <w:semiHidden/>
    <w:unhideWhenUsed/>
    <w:rsid w:val="00881E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81E05"/>
    <w:pPr>
      <w:spacing w:after="120" w:line="480" w:lineRule="auto"/>
    </w:pPr>
  </w:style>
  <w:style w:type="character" w:customStyle="1" w:styleId="BodyText2Char">
    <w:name w:val="Body Text 2 Char"/>
    <w:basedOn w:val="DefaultParagraphFont"/>
    <w:link w:val="BodyText2"/>
    <w:uiPriority w:val="99"/>
    <w:semiHidden/>
    <w:rsid w:val="00881E05"/>
    <w:rPr>
      <w:lang w:val="en-GB"/>
    </w:rPr>
  </w:style>
  <w:style w:type="paragraph" w:styleId="BodyText3">
    <w:name w:val="Body Text 3"/>
    <w:basedOn w:val="Normal"/>
    <w:link w:val="BodyText3Char"/>
    <w:uiPriority w:val="99"/>
    <w:semiHidden/>
    <w:unhideWhenUsed/>
    <w:rsid w:val="00881E05"/>
    <w:pPr>
      <w:spacing w:after="120"/>
    </w:pPr>
    <w:rPr>
      <w:sz w:val="16"/>
      <w:szCs w:val="16"/>
    </w:rPr>
  </w:style>
  <w:style w:type="character" w:customStyle="1" w:styleId="BodyText3Char">
    <w:name w:val="Body Text 3 Char"/>
    <w:basedOn w:val="DefaultParagraphFont"/>
    <w:link w:val="BodyText3"/>
    <w:uiPriority w:val="99"/>
    <w:semiHidden/>
    <w:rsid w:val="00881E05"/>
    <w:rPr>
      <w:sz w:val="16"/>
      <w:szCs w:val="16"/>
      <w:lang w:val="en-GB"/>
    </w:rPr>
  </w:style>
  <w:style w:type="paragraph" w:styleId="BodyTextFirstIndent">
    <w:name w:val="Body Text First Indent"/>
    <w:basedOn w:val="BodyText"/>
    <w:link w:val="BodyTextFirstIndentChar"/>
    <w:uiPriority w:val="99"/>
    <w:semiHidden/>
    <w:unhideWhenUsed/>
    <w:rsid w:val="00881E05"/>
    <w:pPr>
      <w:tabs>
        <w:tab w:val="clear" w:pos="720"/>
        <w:tab w:val="clear" w:pos="1418"/>
      </w:tabs>
      <w:spacing w:after="0" w:line="240" w:lineRule="auto"/>
      <w:ind w:left="0" w:firstLine="360"/>
      <w:jc w:val="left"/>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semiHidden/>
    <w:rsid w:val="00881E05"/>
    <w:rPr>
      <w:rFonts w:ascii="Verdana" w:hAnsi="Verdana"/>
      <w:sz w:val="18"/>
      <w:szCs w:val="18"/>
      <w:lang w:val="en-GB"/>
    </w:rPr>
  </w:style>
  <w:style w:type="paragraph" w:styleId="BodyTextIndent">
    <w:name w:val="Body Text Indent"/>
    <w:basedOn w:val="Normal"/>
    <w:link w:val="BodyTextIndentChar"/>
    <w:uiPriority w:val="99"/>
    <w:semiHidden/>
    <w:unhideWhenUsed/>
    <w:rsid w:val="00881E05"/>
    <w:pPr>
      <w:spacing w:after="120"/>
      <w:ind w:left="283"/>
    </w:pPr>
  </w:style>
  <w:style w:type="character" w:customStyle="1" w:styleId="BodyTextIndentChar">
    <w:name w:val="Body Text Indent Char"/>
    <w:basedOn w:val="DefaultParagraphFont"/>
    <w:link w:val="BodyTextIndent"/>
    <w:uiPriority w:val="99"/>
    <w:semiHidden/>
    <w:rsid w:val="00881E05"/>
    <w:rPr>
      <w:lang w:val="en-GB"/>
    </w:rPr>
  </w:style>
  <w:style w:type="paragraph" w:styleId="BodyTextFirstIndent2">
    <w:name w:val="Body Text First Indent 2"/>
    <w:basedOn w:val="BodyTextIndent"/>
    <w:link w:val="BodyTextFirstIndent2Char"/>
    <w:uiPriority w:val="99"/>
    <w:semiHidden/>
    <w:unhideWhenUsed/>
    <w:rsid w:val="00881E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881E05"/>
    <w:rPr>
      <w:lang w:val="en-GB"/>
    </w:rPr>
  </w:style>
  <w:style w:type="paragraph" w:styleId="BodyTextIndent2">
    <w:name w:val="Body Text Indent 2"/>
    <w:basedOn w:val="Normal"/>
    <w:link w:val="BodyTextIndent2Char"/>
    <w:uiPriority w:val="99"/>
    <w:semiHidden/>
    <w:unhideWhenUsed/>
    <w:rsid w:val="00881E05"/>
    <w:pPr>
      <w:spacing w:after="120" w:line="480" w:lineRule="auto"/>
      <w:ind w:left="283"/>
    </w:pPr>
  </w:style>
  <w:style w:type="character" w:customStyle="1" w:styleId="BodyTextIndent2Char">
    <w:name w:val="Body Text Indent 2 Char"/>
    <w:basedOn w:val="DefaultParagraphFont"/>
    <w:link w:val="BodyTextIndent2"/>
    <w:uiPriority w:val="99"/>
    <w:semiHidden/>
    <w:rsid w:val="00881E05"/>
    <w:rPr>
      <w:lang w:val="en-GB"/>
    </w:rPr>
  </w:style>
  <w:style w:type="paragraph" w:styleId="BodyTextIndent3">
    <w:name w:val="Body Text Indent 3"/>
    <w:basedOn w:val="Normal"/>
    <w:link w:val="BodyTextIndent3Char"/>
    <w:uiPriority w:val="99"/>
    <w:semiHidden/>
    <w:unhideWhenUsed/>
    <w:rsid w:val="00881E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1E05"/>
    <w:rPr>
      <w:sz w:val="16"/>
      <w:szCs w:val="16"/>
      <w:lang w:val="en-GB"/>
    </w:rPr>
  </w:style>
  <w:style w:type="paragraph" w:styleId="DocumentMap">
    <w:name w:val="Document Map"/>
    <w:basedOn w:val="Normal"/>
    <w:link w:val="DocumentMapChar"/>
    <w:uiPriority w:val="99"/>
    <w:semiHidden/>
    <w:unhideWhenUsed/>
    <w:rsid w:val="00881E0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1E05"/>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81E05"/>
  </w:style>
  <w:style w:type="character" w:customStyle="1" w:styleId="E-mailSignatureChar">
    <w:name w:val="E-mail Signature Char"/>
    <w:basedOn w:val="DefaultParagraphFont"/>
    <w:link w:val="E-mailSignature"/>
    <w:uiPriority w:val="99"/>
    <w:semiHidden/>
    <w:rsid w:val="00881E05"/>
    <w:rPr>
      <w:lang w:val="en-GB"/>
    </w:rPr>
  </w:style>
  <w:style w:type="paragraph" w:styleId="EnvelopeAddress">
    <w:name w:val="envelope address"/>
    <w:basedOn w:val="Normal"/>
    <w:uiPriority w:val="99"/>
    <w:semiHidden/>
    <w:unhideWhenUsed/>
    <w:rsid w:val="00881E0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1E0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881E05"/>
    <w:rPr>
      <w:i/>
      <w:iCs/>
    </w:rPr>
  </w:style>
  <w:style w:type="character" w:customStyle="1" w:styleId="HTMLAddressChar">
    <w:name w:val="HTML Address Char"/>
    <w:basedOn w:val="DefaultParagraphFont"/>
    <w:link w:val="HTMLAddress"/>
    <w:uiPriority w:val="99"/>
    <w:semiHidden/>
    <w:rsid w:val="00881E05"/>
    <w:rPr>
      <w:i/>
      <w:iCs/>
      <w:lang w:val="en-GB"/>
    </w:rPr>
  </w:style>
  <w:style w:type="paragraph" w:styleId="HTMLPreformatted">
    <w:name w:val="HTML Preformatted"/>
    <w:basedOn w:val="Normal"/>
    <w:link w:val="HTMLPreformattedChar"/>
    <w:uiPriority w:val="99"/>
    <w:semiHidden/>
    <w:unhideWhenUsed/>
    <w:rsid w:val="00881E05"/>
    <w:rPr>
      <w:rFonts w:ascii="Consolas" w:hAnsi="Consolas"/>
    </w:rPr>
  </w:style>
  <w:style w:type="character" w:customStyle="1" w:styleId="HTMLPreformattedChar">
    <w:name w:val="HTML Preformatted Char"/>
    <w:basedOn w:val="DefaultParagraphFont"/>
    <w:link w:val="HTMLPreformatted"/>
    <w:uiPriority w:val="99"/>
    <w:semiHidden/>
    <w:rsid w:val="00881E05"/>
    <w:rPr>
      <w:rFonts w:ascii="Consolas" w:hAnsi="Consolas"/>
      <w:lang w:val="en-GB"/>
    </w:rPr>
  </w:style>
  <w:style w:type="paragraph" w:styleId="Index1">
    <w:name w:val="index 1"/>
    <w:basedOn w:val="Normal"/>
    <w:next w:val="Normal"/>
    <w:autoRedefine/>
    <w:uiPriority w:val="99"/>
    <w:semiHidden/>
    <w:unhideWhenUsed/>
    <w:rsid w:val="00881E05"/>
    <w:pPr>
      <w:ind w:left="200" w:hanging="200"/>
    </w:pPr>
  </w:style>
  <w:style w:type="paragraph" w:styleId="Index2">
    <w:name w:val="index 2"/>
    <w:basedOn w:val="Normal"/>
    <w:next w:val="Normal"/>
    <w:autoRedefine/>
    <w:uiPriority w:val="99"/>
    <w:semiHidden/>
    <w:unhideWhenUsed/>
    <w:rsid w:val="00881E05"/>
    <w:pPr>
      <w:ind w:left="400" w:hanging="200"/>
    </w:pPr>
  </w:style>
  <w:style w:type="paragraph" w:styleId="Index3">
    <w:name w:val="index 3"/>
    <w:basedOn w:val="Normal"/>
    <w:next w:val="Normal"/>
    <w:autoRedefine/>
    <w:uiPriority w:val="99"/>
    <w:semiHidden/>
    <w:unhideWhenUsed/>
    <w:rsid w:val="00881E05"/>
    <w:pPr>
      <w:ind w:left="600" w:hanging="200"/>
    </w:pPr>
  </w:style>
  <w:style w:type="paragraph" w:styleId="Index4">
    <w:name w:val="index 4"/>
    <w:basedOn w:val="Normal"/>
    <w:next w:val="Normal"/>
    <w:autoRedefine/>
    <w:uiPriority w:val="99"/>
    <w:semiHidden/>
    <w:unhideWhenUsed/>
    <w:rsid w:val="00881E05"/>
    <w:pPr>
      <w:ind w:left="800" w:hanging="200"/>
    </w:pPr>
  </w:style>
  <w:style w:type="paragraph" w:styleId="Index5">
    <w:name w:val="index 5"/>
    <w:basedOn w:val="Normal"/>
    <w:next w:val="Normal"/>
    <w:autoRedefine/>
    <w:uiPriority w:val="99"/>
    <w:semiHidden/>
    <w:unhideWhenUsed/>
    <w:rsid w:val="00881E05"/>
    <w:pPr>
      <w:ind w:left="1000" w:hanging="200"/>
    </w:pPr>
  </w:style>
  <w:style w:type="paragraph" w:styleId="Index6">
    <w:name w:val="index 6"/>
    <w:basedOn w:val="Normal"/>
    <w:next w:val="Normal"/>
    <w:autoRedefine/>
    <w:uiPriority w:val="99"/>
    <w:semiHidden/>
    <w:unhideWhenUsed/>
    <w:rsid w:val="00881E05"/>
    <w:pPr>
      <w:ind w:left="1200" w:hanging="200"/>
    </w:pPr>
  </w:style>
  <w:style w:type="paragraph" w:styleId="Index7">
    <w:name w:val="index 7"/>
    <w:basedOn w:val="Normal"/>
    <w:next w:val="Normal"/>
    <w:autoRedefine/>
    <w:uiPriority w:val="99"/>
    <w:semiHidden/>
    <w:unhideWhenUsed/>
    <w:rsid w:val="00881E05"/>
    <w:pPr>
      <w:ind w:left="1400" w:hanging="200"/>
    </w:pPr>
  </w:style>
  <w:style w:type="paragraph" w:styleId="Index8">
    <w:name w:val="index 8"/>
    <w:basedOn w:val="Normal"/>
    <w:next w:val="Normal"/>
    <w:autoRedefine/>
    <w:uiPriority w:val="99"/>
    <w:semiHidden/>
    <w:unhideWhenUsed/>
    <w:rsid w:val="00881E05"/>
    <w:pPr>
      <w:ind w:left="1600" w:hanging="200"/>
    </w:pPr>
  </w:style>
  <w:style w:type="paragraph" w:styleId="Index9">
    <w:name w:val="index 9"/>
    <w:basedOn w:val="Normal"/>
    <w:next w:val="Normal"/>
    <w:autoRedefine/>
    <w:uiPriority w:val="99"/>
    <w:semiHidden/>
    <w:unhideWhenUsed/>
    <w:rsid w:val="00881E05"/>
    <w:pPr>
      <w:ind w:left="1800" w:hanging="200"/>
    </w:pPr>
  </w:style>
  <w:style w:type="paragraph" w:styleId="IndexHeading">
    <w:name w:val="index heading"/>
    <w:basedOn w:val="Normal"/>
    <w:next w:val="Index1"/>
    <w:uiPriority w:val="99"/>
    <w:semiHidden/>
    <w:unhideWhenUsed/>
    <w:rsid w:val="00881E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1E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1E05"/>
    <w:rPr>
      <w:i/>
      <w:iCs/>
      <w:color w:val="4F81BD" w:themeColor="accent1"/>
      <w:lang w:val="en-GB"/>
    </w:rPr>
  </w:style>
  <w:style w:type="paragraph" w:styleId="List">
    <w:name w:val="List"/>
    <w:basedOn w:val="Normal"/>
    <w:uiPriority w:val="99"/>
    <w:semiHidden/>
    <w:unhideWhenUsed/>
    <w:rsid w:val="00881E05"/>
    <w:pPr>
      <w:ind w:left="283" w:hanging="283"/>
      <w:contextualSpacing/>
    </w:pPr>
  </w:style>
  <w:style w:type="paragraph" w:styleId="List2">
    <w:name w:val="List 2"/>
    <w:basedOn w:val="Normal"/>
    <w:uiPriority w:val="99"/>
    <w:semiHidden/>
    <w:unhideWhenUsed/>
    <w:rsid w:val="00881E05"/>
    <w:pPr>
      <w:ind w:left="566" w:hanging="283"/>
      <w:contextualSpacing/>
    </w:pPr>
  </w:style>
  <w:style w:type="paragraph" w:styleId="List3">
    <w:name w:val="List 3"/>
    <w:basedOn w:val="Normal"/>
    <w:uiPriority w:val="99"/>
    <w:semiHidden/>
    <w:unhideWhenUsed/>
    <w:rsid w:val="00881E05"/>
    <w:pPr>
      <w:ind w:left="849" w:hanging="283"/>
      <w:contextualSpacing/>
    </w:pPr>
  </w:style>
  <w:style w:type="paragraph" w:styleId="List4">
    <w:name w:val="List 4"/>
    <w:basedOn w:val="Normal"/>
    <w:uiPriority w:val="99"/>
    <w:semiHidden/>
    <w:unhideWhenUsed/>
    <w:rsid w:val="00881E05"/>
    <w:pPr>
      <w:ind w:left="1132" w:hanging="283"/>
      <w:contextualSpacing/>
    </w:pPr>
  </w:style>
  <w:style w:type="paragraph" w:styleId="List5">
    <w:name w:val="List 5"/>
    <w:basedOn w:val="Normal"/>
    <w:uiPriority w:val="99"/>
    <w:semiHidden/>
    <w:unhideWhenUsed/>
    <w:rsid w:val="00881E05"/>
    <w:pPr>
      <w:ind w:left="1415" w:hanging="283"/>
      <w:contextualSpacing/>
    </w:pPr>
  </w:style>
  <w:style w:type="paragraph" w:styleId="ListBullet2">
    <w:name w:val="List Bullet 2"/>
    <w:basedOn w:val="Normal"/>
    <w:uiPriority w:val="99"/>
    <w:semiHidden/>
    <w:unhideWhenUsed/>
    <w:rsid w:val="00881E05"/>
    <w:pPr>
      <w:numPr>
        <w:numId w:val="3"/>
      </w:numPr>
      <w:contextualSpacing/>
    </w:pPr>
  </w:style>
  <w:style w:type="paragraph" w:styleId="ListBullet3">
    <w:name w:val="List Bullet 3"/>
    <w:basedOn w:val="Normal"/>
    <w:uiPriority w:val="99"/>
    <w:semiHidden/>
    <w:unhideWhenUsed/>
    <w:rsid w:val="00881E05"/>
    <w:pPr>
      <w:numPr>
        <w:numId w:val="4"/>
      </w:numPr>
      <w:contextualSpacing/>
    </w:pPr>
  </w:style>
  <w:style w:type="paragraph" w:styleId="ListBullet4">
    <w:name w:val="List Bullet 4"/>
    <w:basedOn w:val="Normal"/>
    <w:uiPriority w:val="99"/>
    <w:semiHidden/>
    <w:unhideWhenUsed/>
    <w:rsid w:val="00881E05"/>
    <w:pPr>
      <w:numPr>
        <w:numId w:val="5"/>
      </w:numPr>
      <w:contextualSpacing/>
    </w:pPr>
  </w:style>
  <w:style w:type="paragraph" w:styleId="ListBullet5">
    <w:name w:val="List Bullet 5"/>
    <w:basedOn w:val="Normal"/>
    <w:uiPriority w:val="99"/>
    <w:semiHidden/>
    <w:unhideWhenUsed/>
    <w:rsid w:val="00881E05"/>
    <w:pPr>
      <w:numPr>
        <w:numId w:val="6"/>
      </w:numPr>
      <w:contextualSpacing/>
    </w:pPr>
  </w:style>
  <w:style w:type="paragraph" w:styleId="ListContinue">
    <w:name w:val="List Continue"/>
    <w:basedOn w:val="Normal"/>
    <w:uiPriority w:val="99"/>
    <w:semiHidden/>
    <w:unhideWhenUsed/>
    <w:rsid w:val="00881E05"/>
    <w:pPr>
      <w:spacing w:after="120"/>
      <w:ind w:left="283"/>
      <w:contextualSpacing/>
    </w:pPr>
  </w:style>
  <w:style w:type="paragraph" w:styleId="ListContinue2">
    <w:name w:val="List Continue 2"/>
    <w:basedOn w:val="Normal"/>
    <w:uiPriority w:val="99"/>
    <w:semiHidden/>
    <w:unhideWhenUsed/>
    <w:rsid w:val="00881E05"/>
    <w:pPr>
      <w:spacing w:after="120"/>
      <w:ind w:left="566"/>
      <w:contextualSpacing/>
    </w:pPr>
  </w:style>
  <w:style w:type="paragraph" w:styleId="ListContinue3">
    <w:name w:val="List Continue 3"/>
    <w:basedOn w:val="Normal"/>
    <w:uiPriority w:val="99"/>
    <w:semiHidden/>
    <w:unhideWhenUsed/>
    <w:rsid w:val="00881E05"/>
    <w:pPr>
      <w:spacing w:after="120"/>
      <w:ind w:left="849"/>
      <w:contextualSpacing/>
    </w:pPr>
  </w:style>
  <w:style w:type="paragraph" w:styleId="ListContinue4">
    <w:name w:val="List Continue 4"/>
    <w:basedOn w:val="Normal"/>
    <w:uiPriority w:val="99"/>
    <w:semiHidden/>
    <w:unhideWhenUsed/>
    <w:rsid w:val="00881E05"/>
    <w:pPr>
      <w:spacing w:after="120"/>
      <w:ind w:left="1132"/>
      <w:contextualSpacing/>
    </w:pPr>
  </w:style>
  <w:style w:type="paragraph" w:styleId="ListContinue5">
    <w:name w:val="List Continue 5"/>
    <w:basedOn w:val="Normal"/>
    <w:uiPriority w:val="99"/>
    <w:semiHidden/>
    <w:unhideWhenUsed/>
    <w:rsid w:val="00881E05"/>
    <w:pPr>
      <w:spacing w:after="120"/>
      <w:ind w:left="1415"/>
      <w:contextualSpacing/>
    </w:pPr>
  </w:style>
  <w:style w:type="paragraph" w:styleId="ListNumber">
    <w:name w:val="List Number"/>
    <w:basedOn w:val="Normal"/>
    <w:uiPriority w:val="99"/>
    <w:semiHidden/>
    <w:unhideWhenUsed/>
    <w:rsid w:val="00881E05"/>
    <w:pPr>
      <w:numPr>
        <w:numId w:val="7"/>
      </w:numPr>
      <w:contextualSpacing/>
    </w:pPr>
  </w:style>
  <w:style w:type="paragraph" w:styleId="ListNumber2">
    <w:name w:val="List Number 2"/>
    <w:basedOn w:val="Normal"/>
    <w:uiPriority w:val="99"/>
    <w:semiHidden/>
    <w:unhideWhenUsed/>
    <w:rsid w:val="00881E05"/>
    <w:pPr>
      <w:numPr>
        <w:numId w:val="8"/>
      </w:numPr>
      <w:contextualSpacing/>
    </w:pPr>
  </w:style>
  <w:style w:type="paragraph" w:styleId="ListNumber3">
    <w:name w:val="List Number 3"/>
    <w:basedOn w:val="Normal"/>
    <w:uiPriority w:val="99"/>
    <w:semiHidden/>
    <w:unhideWhenUsed/>
    <w:rsid w:val="00881E05"/>
    <w:pPr>
      <w:numPr>
        <w:numId w:val="9"/>
      </w:numPr>
      <w:contextualSpacing/>
    </w:pPr>
  </w:style>
  <w:style w:type="paragraph" w:styleId="ListNumber4">
    <w:name w:val="List Number 4"/>
    <w:basedOn w:val="Normal"/>
    <w:uiPriority w:val="99"/>
    <w:semiHidden/>
    <w:unhideWhenUsed/>
    <w:rsid w:val="00881E05"/>
    <w:pPr>
      <w:numPr>
        <w:numId w:val="10"/>
      </w:numPr>
      <w:contextualSpacing/>
    </w:pPr>
  </w:style>
  <w:style w:type="paragraph" w:styleId="ListNumber5">
    <w:name w:val="List Number 5"/>
    <w:basedOn w:val="Normal"/>
    <w:uiPriority w:val="99"/>
    <w:semiHidden/>
    <w:unhideWhenUsed/>
    <w:rsid w:val="00881E05"/>
    <w:pPr>
      <w:numPr>
        <w:numId w:val="11"/>
      </w:numPr>
      <w:contextualSpacing/>
    </w:pPr>
  </w:style>
  <w:style w:type="paragraph" w:styleId="MacroText">
    <w:name w:val="macro"/>
    <w:link w:val="MacroTextChar"/>
    <w:uiPriority w:val="99"/>
    <w:semiHidden/>
    <w:unhideWhenUsed/>
    <w:rsid w:val="00881E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uiPriority w:val="99"/>
    <w:semiHidden/>
    <w:rsid w:val="00881E05"/>
    <w:rPr>
      <w:rFonts w:ascii="Consolas" w:hAnsi="Consolas"/>
      <w:lang w:val="en-GB"/>
    </w:rPr>
  </w:style>
  <w:style w:type="paragraph" w:styleId="MessageHeader">
    <w:name w:val="Message Header"/>
    <w:basedOn w:val="Normal"/>
    <w:link w:val="MessageHeaderChar"/>
    <w:uiPriority w:val="99"/>
    <w:semiHidden/>
    <w:unhideWhenUsed/>
    <w:rsid w:val="00881E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1E0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1E05"/>
    <w:pPr>
      <w:overflowPunct w:val="0"/>
      <w:autoSpaceDE w:val="0"/>
      <w:autoSpaceDN w:val="0"/>
      <w:adjustRightInd w:val="0"/>
      <w:textAlignment w:val="baseline"/>
    </w:pPr>
    <w:rPr>
      <w:lang w:val="en-GB"/>
    </w:rPr>
  </w:style>
  <w:style w:type="paragraph" w:styleId="NormalIndent">
    <w:name w:val="Normal Indent"/>
    <w:basedOn w:val="Normal"/>
    <w:uiPriority w:val="99"/>
    <w:semiHidden/>
    <w:unhideWhenUsed/>
    <w:rsid w:val="00881E05"/>
    <w:pPr>
      <w:ind w:left="720"/>
    </w:pPr>
  </w:style>
  <w:style w:type="paragraph" w:styleId="NoteHeading">
    <w:name w:val="Note Heading"/>
    <w:basedOn w:val="Normal"/>
    <w:next w:val="Normal"/>
    <w:link w:val="NoteHeadingChar"/>
    <w:uiPriority w:val="99"/>
    <w:semiHidden/>
    <w:unhideWhenUsed/>
    <w:rsid w:val="00881E05"/>
  </w:style>
  <w:style w:type="character" w:customStyle="1" w:styleId="NoteHeadingChar">
    <w:name w:val="Note Heading Char"/>
    <w:basedOn w:val="DefaultParagraphFont"/>
    <w:link w:val="NoteHeading"/>
    <w:uiPriority w:val="99"/>
    <w:semiHidden/>
    <w:rsid w:val="00881E05"/>
    <w:rPr>
      <w:lang w:val="en-GB"/>
    </w:rPr>
  </w:style>
  <w:style w:type="paragraph" w:styleId="PlainText">
    <w:name w:val="Plain Text"/>
    <w:basedOn w:val="Normal"/>
    <w:link w:val="PlainTextChar"/>
    <w:uiPriority w:val="99"/>
    <w:semiHidden/>
    <w:unhideWhenUsed/>
    <w:rsid w:val="00881E05"/>
    <w:rPr>
      <w:rFonts w:ascii="Consolas" w:hAnsi="Consolas"/>
      <w:sz w:val="21"/>
      <w:szCs w:val="21"/>
    </w:rPr>
  </w:style>
  <w:style w:type="character" w:customStyle="1" w:styleId="PlainTextChar">
    <w:name w:val="Plain Text Char"/>
    <w:basedOn w:val="DefaultParagraphFont"/>
    <w:link w:val="PlainText"/>
    <w:uiPriority w:val="99"/>
    <w:semiHidden/>
    <w:rsid w:val="00881E05"/>
    <w:rPr>
      <w:rFonts w:ascii="Consolas" w:hAnsi="Consolas"/>
      <w:sz w:val="21"/>
      <w:szCs w:val="21"/>
      <w:lang w:val="en-GB"/>
    </w:rPr>
  </w:style>
  <w:style w:type="paragraph" w:styleId="Quote">
    <w:name w:val="Quote"/>
    <w:basedOn w:val="Normal"/>
    <w:next w:val="Normal"/>
    <w:link w:val="QuoteChar"/>
    <w:uiPriority w:val="29"/>
    <w:qFormat/>
    <w:rsid w:val="00881E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1E05"/>
    <w:rPr>
      <w:i/>
      <w:iCs/>
      <w:color w:val="404040" w:themeColor="text1" w:themeTint="BF"/>
      <w:lang w:val="en-GB"/>
    </w:rPr>
  </w:style>
  <w:style w:type="paragraph" w:styleId="Salutation">
    <w:name w:val="Salutation"/>
    <w:basedOn w:val="Normal"/>
    <w:next w:val="Normal"/>
    <w:link w:val="SalutationChar"/>
    <w:uiPriority w:val="99"/>
    <w:semiHidden/>
    <w:unhideWhenUsed/>
    <w:rsid w:val="00881E05"/>
  </w:style>
  <w:style w:type="character" w:customStyle="1" w:styleId="SalutationChar">
    <w:name w:val="Salutation Char"/>
    <w:basedOn w:val="DefaultParagraphFont"/>
    <w:link w:val="Salutation"/>
    <w:uiPriority w:val="99"/>
    <w:semiHidden/>
    <w:rsid w:val="00881E05"/>
    <w:rPr>
      <w:lang w:val="en-GB"/>
    </w:rPr>
  </w:style>
  <w:style w:type="paragraph" w:styleId="TableofAuthorities">
    <w:name w:val="table of authorities"/>
    <w:basedOn w:val="Normal"/>
    <w:next w:val="Normal"/>
    <w:uiPriority w:val="99"/>
    <w:semiHidden/>
    <w:unhideWhenUsed/>
    <w:rsid w:val="00881E05"/>
    <w:pPr>
      <w:ind w:left="200" w:hanging="200"/>
    </w:pPr>
  </w:style>
  <w:style w:type="paragraph" w:styleId="TOAHeading">
    <w:name w:val="toa heading"/>
    <w:basedOn w:val="Normal"/>
    <w:next w:val="Normal"/>
    <w:uiPriority w:val="99"/>
    <w:semiHidden/>
    <w:unhideWhenUsed/>
    <w:rsid w:val="00881E05"/>
    <w:pPr>
      <w:spacing w:before="120"/>
    </w:pPr>
    <w:rPr>
      <w:rFonts w:asciiTheme="majorHAnsi" w:eastAsiaTheme="majorEastAsia" w:hAnsiTheme="majorHAnsi" w:cstheme="majorBidi"/>
      <w:b/>
      <w:bCs/>
      <w:sz w:val="24"/>
      <w:szCs w:val="24"/>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6037B1"/>
    <w:pPr>
      <w:overflowPunct/>
      <w:autoSpaceDE/>
      <w:autoSpaceDN/>
      <w:adjustRightInd/>
      <w:spacing w:line="240" w:lineRule="exact"/>
      <w:jc w:val="both"/>
      <w:textAlignment w:val="auto"/>
    </w:pPr>
    <w:rPr>
      <w:vertAlign w:val="superscript"/>
      <w:lang w:val="da-DK"/>
    </w:rPr>
  </w:style>
  <w:style w:type="paragraph" w:customStyle="1" w:styleId="p1">
    <w:name w:val="p1"/>
    <w:basedOn w:val="Normal"/>
    <w:rsid w:val="00A63DD6"/>
    <w:pPr>
      <w:overflowPunct/>
      <w:autoSpaceDE/>
      <w:autoSpaceDN/>
      <w:adjustRightInd/>
      <w:spacing w:line="240" w:lineRule="auto"/>
      <w:textAlignment w:val="auto"/>
    </w:pPr>
    <w:rPr>
      <w:color w:val="000000"/>
      <w:sz w:val="16"/>
      <w:szCs w:val="16"/>
      <w:lang w:eastAsia="en-US"/>
    </w:rPr>
  </w:style>
  <w:style w:type="character" w:customStyle="1" w:styleId="s1">
    <w:name w:val="s1"/>
    <w:basedOn w:val="DefaultParagraphFont"/>
    <w:rsid w:val="00DB304B"/>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053">
      <w:bodyDiv w:val="1"/>
      <w:marLeft w:val="0"/>
      <w:marRight w:val="0"/>
      <w:marTop w:val="0"/>
      <w:marBottom w:val="0"/>
      <w:divBdr>
        <w:top w:val="none" w:sz="0" w:space="0" w:color="auto"/>
        <w:left w:val="none" w:sz="0" w:space="0" w:color="auto"/>
        <w:bottom w:val="none" w:sz="0" w:space="0" w:color="auto"/>
        <w:right w:val="none" w:sz="0" w:space="0" w:color="auto"/>
      </w:divBdr>
    </w:div>
    <w:div w:id="18313221">
      <w:bodyDiv w:val="1"/>
      <w:marLeft w:val="0"/>
      <w:marRight w:val="0"/>
      <w:marTop w:val="0"/>
      <w:marBottom w:val="0"/>
      <w:divBdr>
        <w:top w:val="none" w:sz="0" w:space="0" w:color="auto"/>
        <w:left w:val="none" w:sz="0" w:space="0" w:color="auto"/>
        <w:bottom w:val="none" w:sz="0" w:space="0" w:color="auto"/>
        <w:right w:val="none" w:sz="0" w:space="0" w:color="auto"/>
      </w:divBdr>
    </w:div>
    <w:div w:id="24866392">
      <w:bodyDiv w:val="1"/>
      <w:marLeft w:val="0"/>
      <w:marRight w:val="0"/>
      <w:marTop w:val="0"/>
      <w:marBottom w:val="0"/>
      <w:divBdr>
        <w:top w:val="none" w:sz="0" w:space="0" w:color="auto"/>
        <w:left w:val="none" w:sz="0" w:space="0" w:color="auto"/>
        <w:bottom w:val="none" w:sz="0" w:space="0" w:color="auto"/>
        <w:right w:val="none" w:sz="0" w:space="0" w:color="auto"/>
      </w:divBdr>
    </w:div>
    <w:div w:id="30082983">
      <w:bodyDiv w:val="1"/>
      <w:marLeft w:val="0"/>
      <w:marRight w:val="0"/>
      <w:marTop w:val="0"/>
      <w:marBottom w:val="0"/>
      <w:divBdr>
        <w:top w:val="none" w:sz="0" w:space="0" w:color="auto"/>
        <w:left w:val="none" w:sz="0" w:space="0" w:color="auto"/>
        <w:bottom w:val="none" w:sz="0" w:space="0" w:color="auto"/>
        <w:right w:val="none" w:sz="0" w:space="0" w:color="auto"/>
      </w:divBdr>
    </w:div>
    <w:div w:id="48843104">
      <w:bodyDiv w:val="1"/>
      <w:marLeft w:val="0"/>
      <w:marRight w:val="0"/>
      <w:marTop w:val="0"/>
      <w:marBottom w:val="0"/>
      <w:divBdr>
        <w:top w:val="none" w:sz="0" w:space="0" w:color="auto"/>
        <w:left w:val="none" w:sz="0" w:space="0" w:color="auto"/>
        <w:bottom w:val="none" w:sz="0" w:space="0" w:color="auto"/>
        <w:right w:val="none" w:sz="0" w:space="0" w:color="auto"/>
      </w:divBdr>
    </w:div>
    <w:div w:id="62338019">
      <w:bodyDiv w:val="1"/>
      <w:marLeft w:val="0"/>
      <w:marRight w:val="0"/>
      <w:marTop w:val="0"/>
      <w:marBottom w:val="0"/>
      <w:divBdr>
        <w:top w:val="none" w:sz="0" w:space="0" w:color="auto"/>
        <w:left w:val="none" w:sz="0" w:space="0" w:color="auto"/>
        <w:bottom w:val="none" w:sz="0" w:space="0" w:color="auto"/>
        <w:right w:val="none" w:sz="0" w:space="0" w:color="auto"/>
      </w:divBdr>
    </w:div>
    <w:div w:id="75396192">
      <w:bodyDiv w:val="1"/>
      <w:marLeft w:val="0"/>
      <w:marRight w:val="0"/>
      <w:marTop w:val="0"/>
      <w:marBottom w:val="0"/>
      <w:divBdr>
        <w:top w:val="none" w:sz="0" w:space="0" w:color="auto"/>
        <w:left w:val="none" w:sz="0" w:space="0" w:color="auto"/>
        <w:bottom w:val="none" w:sz="0" w:space="0" w:color="auto"/>
        <w:right w:val="none" w:sz="0" w:space="0" w:color="auto"/>
      </w:divBdr>
    </w:div>
    <w:div w:id="87122109">
      <w:bodyDiv w:val="1"/>
      <w:marLeft w:val="0"/>
      <w:marRight w:val="0"/>
      <w:marTop w:val="0"/>
      <w:marBottom w:val="0"/>
      <w:divBdr>
        <w:top w:val="none" w:sz="0" w:space="0" w:color="auto"/>
        <w:left w:val="none" w:sz="0" w:space="0" w:color="auto"/>
        <w:bottom w:val="none" w:sz="0" w:space="0" w:color="auto"/>
        <w:right w:val="none" w:sz="0" w:space="0" w:color="auto"/>
      </w:divBdr>
    </w:div>
    <w:div w:id="88813471">
      <w:bodyDiv w:val="1"/>
      <w:marLeft w:val="0"/>
      <w:marRight w:val="0"/>
      <w:marTop w:val="0"/>
      <w:marBottom w:val="0"/>
      <w:divBdr>
        <w:top w:val="none" w:sz="0" w:space="0" w:color="auto"/>
        <w:left w:val="none" w:sz="0" w:space="0" w:color="auto"/>
        <w:bottom w:val="none" w:sz="0" w:space="0" w:color="auto"/>
        <w:right w:val="none" w:sz="0" w:space="0" w:color="auto"/>
      </w:divBdr>
    </w:div>
    <w:div w:id="104078620">
      <w:bodyDiv w:val="1"/>
      <w:marLeft w:val="0"/>
      <w:marRight w:val="0"/>
      <w:marTop w:val="0"/>
      <w:marBottom w:val="0"/>
      <w:divBdr>
        <w:top w:val="none" w:sz="0" w:space="0" w:color="auto"/>
        <w:left w:val="none" w:sz="0" w:space="0" w:color="auto"/>
        <w:bottom w:val="none" w:sz="0" w:space="0" w:color="auto"/>
        <w:right w:val="none" w:sz="0" w:space="0" w:color="auto"/>
      </w:divBdr>
    </w:div>
    <w:div w:id="107235306">
      <w:bodyDiv w:val="1"/>
      <w:marLeft w:val="0"/>
      <w:marRight w:val="0"/>
      <w:marTop w:val="0"/>
      <w:marBottom w:val="0"/>
      <w:divBdr>
        <w:top w:val="none" w:sz="0" w:space="0" w:color="auto"/>
        <w:left w:val="none" w:sz="0" w:space="0" w:color="auto"/>
        <w:bottom w:val="none" w:sz="0" w:space="0" w:color="auto"/>
        <w:right w:val="none" w:sz="0" w:space="0" w:color="auto"/>
      </w:divBdr>
    </w:div>
    <w:div w:id="112945227">
      <w:bodyDiv w:val="1"/>
      <w:marLeft w:val="0"/>
      <w:marRight w:val="0"/>
      <w:marTop w:val="0"/>
      <w:marBottom w:val="0"/>
      <w:divBdr>
        <w:top w:val="none" w:sz="0" w:space="0" w:color="auto"/>
        <w:left w:val="none" w:sz="0" w:space="0" w:color="auto"/>
        <w:bottom w:val="none" w:sz="0" w:space="0" w:color="auto"/>
        <w:right w:val="none" w:sz="0" w:space="0" w:color="auto"/>
      </w:divBdr>
    </w:div>
    <w:div w:id="124543486">
      <w:bodyDiv w:val="1"/>
      <w:marLeft w:val="0"/>
      <w:marRight w:val="0"/>
      <w:marTop w:val="0"/>
      <w:marBottom w:val="0"/>
      <w:divBdr>
        <w:top w:val="none" w:sz="0" w:space="0" w:color="auto"/>
        <w:left w:val="none" w:sz="0" w:space="0" w:color="auto"/>
        <w:bottom w:val="none" w:sz="0" w:space="0" w:color="auto"/>
        <w:right w:val="none" w:sz="0" w:space="0" w:color="auto"/>
      </w:divBdr>
    </w:div>
    <w:div w:id="128328725">
      <w:bodyDiv w:val="1"/>
      <w:marLeft w:val="0"/>
      <w:marRight w:val="0"/>
      <w:marTop w:val="0"/>
      <w:marBottom w:val="0"/>
      <w:divBdr>
        <w:top w:val="none" w:sz="0" w:space="0" w:color="auto"/>
        <w:left w:val="none" w:sz="0" w:space="0" w:color="auto"/>
        <w:bottom w:val="none" w:sz="0" w:space="0" w:color="auto"/>
        <w:right w:val="none" w:sz="0" w:space="0" w:color="auto"/>
      </w:divBdr>
    </w:div>
    <w:div w:id="132338205">
      <w:bodyDiv w:val="1"/>
      <w:marLeft w:val="0"/>
      <w:marRight w:val="0"/>
      <w:marTop w:val="0"/>
      <w:marBottom w:val="0"/>
      <w:divBdr>
        <w:top w:val="none" w:sz="0" w:space="0" w:color="auto"/>
        <w:left w:val="none" w:sz="0" w:space="0" w:color="auto"/>
        <w:bottom w:val="none" w:sz="0" w:space="0" w:color="auto"/>
        <w:right w:val="none" w:sz="0" w:space="0" w:color="auto"/>
      </w:divBdr>
    </w:div>
    <w:div w:id="148375784">
      <w:bodyDiv w:val="1"/>
      <w:marLeft w:val="0"/>
      <w:marRight w:val="0"/>
      <w:marTop w:val="0"/>
      <w:marBottom w:val="0"/>
      <w:divBdr>
        <w:top w:val="none" w:sz="0" w:space="0" w:color="auto"/>
        <w:left w:val="none" w:sz="0" w:space="0" w:color="auto"/>
        <w:bottom w:val="none" w:sz="0" w:space="0" w:color="auto"/>
        <w:right w:val="none" w:sz="0" w:space="0" w:color="auto"/>
      </w:divBdr>
    </w:div>
    <w:div w:id="180321532">
      <w:bodyDiv w:val="1"/>
      <w:marLeft w:val="0"/>
      <w:marRight w:val="0"/>
      <w:marTop w:val="0"/>
      <w:marBottom w:val="0"/>
      <w:divBdr>
        <w:top w:val="none" w:sz="0" w:space="0" w:color="auto"/>
        <w:left w:val="none" w:sz="0" w:space="0" w:color="auto"/>
        <w:bottom w:val="none" w:sz="0" w:space="0" w:color="auto"/>
        <w:right w:val="none" w:sz="0" w:space="0" w:color="auto"/>
      </w:divBdr>
    </w:div>
    <w:div w:id="183716762">
      <w:bodyDiv w:val="1"/>
      <w:marLeft w:val="0"/>
      <w:marRight w:val="0"/>
      <w:marTop w:val="0"/>
      <w:marBottom w:val="0"/>
      <w:divBdr>
        <w:top w:val="none" w:sz="0" w:space="0" w:color="auto"/>
        <w:left w:val="none" w:sz="0" w:space="0" w:color="auto"/>
        <w:bottom w:val="none" w:sz="0" w:space="0" w:color="auto"/>
        <w:right w:val="none" w:sz="0" w:space="0" w:color="auto"/>
      </w:divBdr>
    </w:div>
    <w:div w:id="200674536">
      <w:bodyDiv w:val="1"/>
      <w:marLeft w:val="0"/>
      <w:marRight w:val="0"/>
      <w:marTop w:val="0"/>
      <w:marBottom w:val="0"/>
      <w:divBdr>
        <w:top w:val="none" w:sz="0" w:space="0" w:color="auto"/>
        <w:left w:val="none" w:sz="0" w:space="0" w:color="auto"/>
        <w:bottom w:val="none" w:sz="0" w:space="0" w:color="auto"/>
        <w:right w:val="none" w:sz="0" w:space="0" w:color="auto"/>
      </w:divBdr>
    </w:div>
    <w:div w:id="221064004">
      <w:bodyDiv w:val="1"/>
      <w:marLeft w:val="0"/>
      <w:marRight w:val="0"/>
      <w:marTop w:val="0"/>
      <w:marBottom w:val="0"/>
      <w:divBdr>
        <w:top w:val="none" w:sz="0" w:space="0" w:color="auto"/>
        <w:left w:val="none" w:sz="0" w:space="0" w:color="auto"/>
        <w:bottom w:val="none" w:sz="0" w:space="0" w:color="auto"/>
        <w:right w:val="none" w:sz="0" w:space="0" w:color="auto"/>
      </w:divBdr>
    </w:div>
    <w:div w:id="238558878">
      <w:bodyDiv w:val="1"/>
      <w:marLeft w:val="0"/>
      <w:marRight w:val="0"/>
      <w:marTop w:val="0"/>
      <w:marBottom w:val="0"/>
      <w:divBdr>
        <w:top w:val="none" w:sz="0" w:space="0" w:color="auto"/>
        <w:left w:val="none" w:sz="0" w:space="0" w:color="auto"/>
        <w:bottom w:val="none" w:sz="0" w:space="0" w:color="auto"/>
        <w:right w:val="none" w:sz="0" w:space="0" w:color="auto"/>
      </w:divBdr>
    </w:div>
    <w:div w:id="240990309">
      <w:bodyDiv w:val="1"/>
      <w:marLeft w:val="0"/>
      <w:marRight w:val="0"/>
      <w:marTop w:val="0"/>
      <w:marBottom w:val="0"/>
      <w:divBdr>
        <w:top w:val="none" w:sz="0" w:space="0" w:color="auto"/>
        <w:left w:val="none" w:sz="0" w:space="0" w:color="auto"/>
        <w:bottom w:val="none" w:sz="0" w:space="0" w:color="auto"/>
        <w:right w:val="none" w:sz="0" w:space="0" w:color="auto"/>
      </w:divBdr>
    </w:div>
    <w:div w:id="311643046">
      <w:bodyDiv w:val="1"/>
      <w:marLeft w:val="0"/>
      <w:marRight w:val="0"/>
      <w:marTop w:val="0"/>
      <w:marBottom w:val="0"/>
      <w:divBdr>
        <w:top w:val="none" w:sz="0" w:space="0" w:color="auto"/>
        <w:left w:val="none" w:sz="0" w:space="0" w:color="auto"/>
        <w:bottom w:val="none" w:sz="0" w:space="0" w:color="auto"/>
        <w:right w:val="none" w:sz="0" w:space="0" w:color="auto"/>
      </w:divBdr>
    </w:div>
    <w:div w:id="335617389">
      <w:bodyDiv w:val="1"/>
      <w:marLeft w:val="0"/>
      <w:marRight w:val="0"/>
      <w:marTop w:val="0"/>
      <w:marBottom w:val="0"/>
      <w:divBdr>
        <w:top w:val="none" w:sz="0" w:space="0" w:color="auto"/>
        <w:left w:val="none" w:sz="0" w:space="0" w:color="auto"/>
        <w:bottom w:val="none" w:sz="0" w:space="0" w:color="auto"/>
        <w:right w:val="none" w:sz="0" w:space="0" w:color="auto"/>
      </w:divBdr>
    </w:div>
    <w:div w:id="343702751">
      <w:bodyDiv w:val="1"/>
      <w:marLeft w:val="0"/>
      <w:marRight w:val="0"/>
      <w:marTop w:val="0"/>
      <w:marBottom w:val="0"/>
      <w:divBdr>
        <w:top w:val="none" w:sz="0" w:space="0" w:color="auto"/>
        <w:left w:val="none" w:sz="0" w:space="0" w:color="auto"/>
        <w:bottom w:val="none" w:sz="0" w:space="0" w:color="auto"/>
        <w:right w:val="none" w:sz="0" w:space="0" w:color="auto"/>
      </w:divBdr>
    </w:div>
    <w:div w:id="345834759">
      <w:bodyDiv w:val="1"/>
      <w:marLeft w:val="0"/>
      <w:marRight w:val="0"/>
      <w:marTop w:val="0"/>
      <w:marBottom w:val="0"/>
      <w:divBdr>
        <w:top w:val="none" w:sz="0" w:space="0" w:color="auto"/>
        <w:left w:val="none" w:sz="0" w:space="0" w:color="auto"/>
        <w:bottom w:val="none" w:sz="0" w:space="0" w:color="auto"/>
        <w:right w:val="none" w:sz="0" w:space="0" w:color="auto"/>
      </w:divBdr>
    </w:div>
    <w:div w:id="346446712">
      <w:bodyDiv w:val="1"/>
      <w:marLeft w:val="0"/>
      <w:marRight w:val="0"/>
      <w:marTop w:val="0"/>
      <w:marBottom w:val="0"/>
      <w:divBdr>
        <w:top w:val="none" w:sz="0" w:space="0" w:color="auto"/>
        <w:left w:val="none" w:sz="0" w:space="0" w:color="auto"/>
        <w:bottom w:val="none" w:sz="0" w:space="0" w:color="auto"/>
        <w:right w:val="none" w:sz="0" w:space="0" w:color="auto"/>
      </w:divBdr>
    </w:div>
    <w:div w:id="358433099">
      <w:bodyDiv w:val="1"/>
      <w:marLeft w:val="0"/>
      <w:marRight w:val="0"/>
      <w:marTop w:val="0"/>
      <w:marBottom w:val="0"/>
      <w:divBdr>
        <w:top w:val="none" w:sz="0" w:space="0" w:color="auto"/>
        <w:left w:val="none" w:sz="0" w:space="0" w:color="auto"/>
        <w:bottom w:val="none" w:sz="0" w:space="0" w:color="auto"/>
        <w:right w:val="none" w:sz="0" w:space="0" w:color="auto"/>
      </w:divBdr>
    </w:div>
    <w:div w:id="380251267">
      <w:bodyDiv w:val="1"/>
      <w:marLeft w:val="0"/>
      <w:marRight w:val="0"/>
      <w:marTop w:val="0"/>
      <w:marBottom w:val="0"/>
      <w:divBdr>
        <w:top w:val="none" w:sz="0" w:space="0" w:color="auto"/>
        <w:left w:val="none" w:sz="0" w:space="0" w:color="auto"/>
        <w:bottom w:val="none" w:sz="0" w:space="0" w:color="auto"/>
        <w:right w:val="none" w:sz="0" w:space="0" w:color="auto"/>
      </w:divBdr>
    </w:div>
    <w:div w:id="386539715">
      <w:bodyDiv w:val="1"/>
      <w:marLeft w:val="0"/>
      <w:marRight w:val="0"/>
      <w:marTop w:val="0"/>
      <w:marBottom w:val="0"/>
      <w:divBdr>
        <w:top w:val="none" w:sz="0" w:space="0" w:color="auto"/>
        <w:left w:val="none" w:sz="0" w:space="0" w:color="auto"/>
        <w:bottom w:val="none" w:sz="0" w:space="0" w:color="auto"/>
        <w:right w:val="none" w:sz="0" w:space="0" w:color="auto"/>
      </w:divBdr>
    </w:div>
    <w:div w:id="410008491">
      <w:bodyDiv w:val="1"/>
      <w:marLeft w:val="0"/>
      <w:marRight w:val="0"/>
      <w:marTop w:val="0"/>
      <w:marBottom w:val="0"/>
      <w:divBdr>
        <w:top w:val="none" w:sz="0" w:space="0" w:color="auto"/>
        <w:left w:val="none" w:sz="0" w:space="0" w:color="auto"/>
        <w:bottom w:val="none" w:sz="0" w:space="0" w:color="auto"/>
        <w:right w:val="none" w:sz="0" w:space="0" w:color="auto"/>
      </w:divBdr>
    </w:div>
    <w:div w:id="439648235">
      <w:bodyDiv w:val="1"/>
      <w:marLeft w:val="0"/>
      <w:marRight w:val="0"/>
      <w:marTop w:val="0"/>
      <w:marBottom w:val="0"/>
      <w:divBdr>
        <w:top w:val="none" w:sz="0" w:space="0" w:color="auto"/>
        <w:left w:val="none" w:sz="0" w:space="0" w:color="auto"/>
        <w:bottom w:val="none" w:sz="0" w:space="0" w:color="auto"/>
        <w:right w:val="none" w:sz="0" w:space="0" w:color="auto"/>
      </w:divBdr>
    </w:div>
    <w:div w:id="441998758">
      <w:bodyDiv w:val="1"/>
      <w:marLeft w:val="0"/>
      <w:marRight w:val="0"/>
      <w:marTop w:val="0"/>
      <w:marBottom w:val="0"/>
      <w:divBdr>
        <w:top w:val="none" w:sz="0" w:space="0" w:color="auto"/>
        <w:left w:val="none" w:sz="0" w:space="0" w:color="auto"/>
        <w:bottom w:val="none" w:sz="0" w:space="0" w:color="auto"/>
        <w:right w:val="none" w:sz="0" w:space="0" w:color="auto"/>
      </w:divBdr>
    </w:div>
    <w:div w:id="457378744">
      <w:bodyDiv w:val="1"/>
      <w:marLeft w:val="0"/>
      <w:marRight w:val="0"/>
      <w:marTop w:val="0"/>
      <w:marBottom w:val="0"/>
      <w:divBdr>
        <w:top w:val="none" w:sz="0" w:space="0" w:color="auto"/>
        <w:left w:val="none" w:sz="0" w:space="0" w:color="auto"/>
        <w:bottom w:val="none" w:sz="0" w:space="0" w:color="auto"/>
        <w:right w:val="none" w:sz="0" w:space="0" w:color="auto"/>
      </w:divBdr>
    </w:div>
    <w:div w:id="474027010">
      <w:bodyDiv w:val="1"/>
      <w:marLeft w:val="0"/>
      <w:marRight w:val="0"/>
      <w:marTop w:val="0"/>
      <w:marBottom w:val="0"/>
      <w:divBdr>
        <w:top w:val="none" w:sz="0" w:space="0" w:color="auto"/>
        <w:left w:val="none" w:sz="0" w:space="0" w:color="auto"/>
        <w:bottom w:val="none" w:sz="0" w:space="0" w:color="auto"/>
        <w:right w:val="none" w:sz="0" w:space="0" w:color="auto"/>
      </w:divBdr>
    </w:div>
    <w:div w:id="477843040">
      <w:bodyDiv w:val="1"/>
      <w:marLeft w:val="0"/>
      <w:marRight w:val="0"/>
      <w:marTop w:val="0"/>
      <w:marBottom w:val="0"/>
      <w:divBdr>
        <w:top w:val="none" w:sz="0" w:space="0" w:color="auto"/>
        <w:left w:val="none" w:sz="0" w:space="0" w:color="auto"/>
        <w:bottom w:val="none" w:sz="0" w:space="0" w:color="auto"/>
        <w:right w:val="none" w:sz="0" w:space="0" w:color="auto"/>
      </w:divBdr>
    </w:div>
    <w:div w:id="498883411">
      <w:bodyDiv w:val="1"/>
      <w:marLeft w:val="0"/>
      <w:marRight w:val="0"/>
      <w:marTop w:val="0"/>
      <w:marBottom w:val="0"/>
      <w:divBdr>
        <w:top w:val="none" w:sz="0" w:space="0" w:color="auto"/>
        <w:left w:val="none" w:sz="0" w:space="0" w:color="auto"/>
        <w:bottom w:val="none" w:sz="0" w:space="0" w:color="auto"/>
        <w:right w:val="none" w:sz="0" w:space="0" w:color="auto"/>
      </w:divBdr>
    </w:div>
    <w:div w:id="517162663">
      <w:bodyDiv w:val="1"/>
      <w:marLeft w:val="0"/>
      <w:marRight w:val="0"/>
      <w:marTop w:val="0"/>
      <w:marBottom w:val="0"/>
      <w:divBdr>
        <w:top w:val="none" w:sz="0" w:space="0" w:color="auto"/>
        <w:left w:val="none" w:sz="0" w:space="0" w:color="auto"/>
        <w:bottom w:val="none" w:sz="0" w:space="0" w:color="auto"/>
        <w:right w:val="none" w:sz="0" w:space="0" w:color="auto"/>
      </w:divBdr>
      <w:divsChild>
        <w:div w:id="1075318502">
          <w:marLeft w:val="547"/>
          <w:marRight w:val="0"/>
          <w:marTop w:val="0"/>
          <w:marBottom w:val="0"/>
          <w:divBdr>
            <w:top w:val="none" w:sz="0" w:space="0" w:color="auto"/>
            <w:left w:val="none" w:sz="0" w:space="0" w:color="auto"/>
            <w:bottom w:val="none" w:sz="0" w:space="0" w:color="auto"/>
            <w:right w:val="none" w:sz="0" w:space="0" w:color="auto"/>
          </w:divBdr>
        </w:div>
      </w:divsChild>
    </w:div>
    <w:div w:id="542593543">
      <w:bodyDiv w:val="1"/>
      <w:marLeft w:val="0"/>
      <w:marRight w:val="0"/>
      <w:marTop w:val="0"/>
      <w:marBottom w:val="0"/>
      <w:divBdr>
        <w:top w:val="none" w:sz="0" w:space="0" w:color="auto"/>
        <w:left w:val="none" w:sz="0" w:space="0" w:color="auto"/>
        <w:bottom w:val="none" w:sz="0" w:space="0" w:color="auto"/>
        <w:right w:val="none" w:sz="0" w:space="0" w:color="auto"/>
      </w:divBdr>
    </w:div>
    <w:div w:id="591671587">
      <w:bodyDiv w:val="1"/>
      <w:marLeft w:val="0"/>
      <w:marRight w:val="0"/>
      <w:marTop w:val="0"/>
      <w:marBottom w:val="0"/>
      <w:divBdr>
        <w:top w:val="none" w:sz="0" w:space="0" w:color="auto"/>
        <w:left w:val="none" w:sz="0" w:space="0" w:color="auto"/>
        <w:bottom w:val="none" w:sz="0" w:space="0" w:color="auto"/>
        <w:right w:val="none" w:sz="0" w:space="0" w:color="auto"/>
      </w:divBdr>
    </w:div>
    <w:div w:id="600534292">
      <w:bodyDiv w:val="1"/>
      <w:marLeft w:val="0"/>
      <w:marRight w:val="0"/>
      <w:marTop w:val="0"/>
      <w:marBottom w:val="0"/>
      <w:divBdr>
        <w:top w:val="none" w:sz="0" w:space="0" w:color="auto"/>
        <w:left w:val="none" w:sz="0" w:space="0" w:color="auto"/>
        <w:bottom w:val="none" w:sz="0" w:space="0" w:color="auto"/>
        <w:right w:val="none" w:sz="0" w:space="0" w:color="auto"/>
      </w:divBdr>
      <w:divsChild>
        <w:div w:id="241334335">
          <w:marLeft w:val="0"/>
          <w:marRight w:val="0"/>
          <w:marTop w:val="0"/>
          <w:marBottom w:val="0"/>
          <w:divBdr>
            <w:top w:val="none" w:sz="0" w:space="0" w:color="auto"/>
            <w:left w:val="none" w:sz="0" w:space="0" w:color="auto"/>
            <w:bottom w:val="none" w:sz="0" w:space="0" w:color="auto"/>
            <w:right w:val="none" w:sz="0" w:space="0" w:color="auto"/>
          </w:divBdr>
          <w:divsChild>
            <w:div w:id="1323896817">
              <w:marLeft w:val="0"/>
              <w:marRight w:val="0"/>
              <w:marTop w:val="0"/>
              <w:marBottom w:val="0"/>
              <w:divBdr>
                <w:top w:val="none" w:sz="0" w:space="0" w:color="auto"/>
                <w:left w:val="none" w:sz="0" w:space="0" w:color="auto"/>
                <w:bottom w:val="none" w:sz="0" w:space="0" w:color="auto"/>
                <w:right w:val="none" w:sz="0" w:space="0" w:color="auto"/>
              </w:divBdr>
              <w:divsChild>
                <w:div w:id="1030690823">
                  <w:marLeft w:val="0"/>
                  <w:marRight w:val="0"/>
                  <w:marTop w:val="0"/>
                  <w:marBottom w:val="0"/>
                  <w:divBdr>
                    <w:top w:val="none" w:sz="0" w:space="0" w:color="auto"/>
                    <w:left w:val="none" w:sz="0" w:space="0" w:color="auto"/>
                    <w:bottom w:val="none" w:sz="0" w:space="0" w:color="auto"/>
                    <w:right w:val="none" w:sz="0" w:space="0" w:color="auto"/>
                  </w:divBdr>
                  <w:divsChild>
                    <w:div w:id="15634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4876">
      <w:bodyDiv w:val="1"/>
      <w:marLeft w:val="0"/>
      <w:marRight w:val="0"/>
      <w:marTop w:val="0"/>
      <w:marBottom w:val="0"/>
      <w:divBdr>
        <w:top w:val="none" w:sz="0" w:space="0" w:color="auto"/>
        <w:left w:val="none" w:sz="0" w:space="0" w:color="auto"/>
        <w:bottom w:val="none" w:sz="0" w:space="0" w:color="auto"/>
        <w:right w:val="none" w:sz="0" w:space="0" w:color="auto"/>
      </w:divBdr>
    </w:div>
    <w:div w:id="612128855">
      <w:bodyDiv w:val="1"/>
      <w:marLeft w:val="0"/>
      <w:marRight w:val="0"/>
      <w:marTop w:val="0"/>
      <w:marBottom w:val="0"/>
      <w:divBdr>
        <w:top w:val="none" w:sz="0" w:space="0" w:color="auto"/>
        <w:left w:val="none" w:sz="0" w:space="0" w:color="auto"/>
        <w:bottom w:val="none" w:sz="0" w:space="0" w:color="auto"/>
        <w:right w:val="none" w:sz="0" w:space="0" w:color="auto"/>
      </w:divBdr>
    </w:div>
    <w:div w:id="620452343">
      <w:bodyDiv w:val="1"/>
      <w:marLeft w:val="0"/>
      <w:marRight w:val="0"/>
      <w:marTop w:val="0"/>
      <w:marBottom w:val="0"/>
      <w:divBdr>
        <w:top w:val="none" w:sz="0" w:space="0" w:color="auto"/>
        <w:left w:val="none" w:sz="0" w:space="0" w:color="auto"/>
        <w:bottom w:val="none" w:sz="0" w:space="0" w:color="auto"/>
        <w:right w:val="none" w:sz="0" w:space="0" w:color="auto"/>
      </w:divBdr>
    </w:div>
    <w:div w:id="630677047">
      <w:bodyDiv w:val="1"/>
      <w:marLeft w:val="0"/>
      <w:marRight w:val="0"/>
      <w:marTop w:val="0"/>
      <w:marBottom w:val="0"/>
      <w:divBdr>
        <w:top w:val="none" w:sz="0" w:space="0" w:color="auto"/>
        <w:left w:val="none" w:sz="0" w:space="0" w:color="auto"/>
        <w:bottom w:val="none" w:sz="0" w:space="0" w:color="auto"/>
        <w:right w:val="none" w:sz="0" w:space="0" w:color="auto"/>
      </w:divBdr>
    </w:div>
    <w:div w:id="640041157">
      <w:bodyDiv w:val="1"/>
      <w:marLeft w:val="0"/>
      <w:marRight w:val="0"/>
      <w:marTop w:val="0"/>
      <w:marBottom w:val="0"/>
      <w:divBdr>
        <w:top w:val="none" w:sz="0" w:space="0" w:color="auto"/>
        <w:left w:val="none" w:sz="0" w:space="0" w:color="auto"/>
        <w:bottom w:val="none" w:sz="0" w:space="0" w:color="auto"/>
        <w:right w:val="none" w:sz="0" w:space="0" w:color="auto"/>
      </w:divBdr>
    </w:div>
    <w:div w:id="645429156">
      <w:bodyDiv w:val="1"/>
      <w:marLeft w:val="0"/>
      <w:marRight w:val="0"/>
      <w:marTop w:val="0"/>
      <w:marBottom w:val="0"/>
      <w:divBdr>
        <w:top w:val="none" w:sz="0" w:space="0" w:color="auto"/>
        <w:left w:val="none" w:sz="0" w:space="0" w:color="auto"/>
        <w:bottom w:val="none" w:sz="0" w:space="0" w:color="auto"/>
        <w:right w:val="none" w:sz="0" w:space="0" w:color="auto"/>
      </w:divBdr>
    </w:div>
    <w:div w:id="662197093">
      <w:bodyDiv w:val="1"/>
      <w:marLeft w:val="0"/>
      <w:marRight w:val="0"/>
      <w:marTop w:val="0"/>
      <w:marBottom w:val="0"/>
      <w:divBdr>
        <w:top w:val="none" w:sz="0" w:space="0" w:color="auto"/>
        <w:left w:val="none" w:sz="0" w:space="0" w:color="auto"/>
        <w:bottom w:val="none" w:sz="0" w:space="0" w:color="auto"/>
        <w:right w:val="none" w:sz="0" w:space="0" w:color="auto"/>
      </w:divBdr>
    </w:div>
    <w:div w:id="672804657">
      <w:bodyDiv w:val="1"/>
      <w:marLeft w:val="0"/>
      <w:marRight w:val="0"/>
      <w:marTop w:val="0"/>
      <w:marBottom w:val="0"/>
      <w:divBdr>
        <w:top w:val="none" w:sz="0" w:space="0" w:color="auto"/>
        <w:left w:val="none" w:sz="0" w:space="0" w:color="auto"/>
        <w:bottom w:val="none" w:sz="0" w:space="0" w:color="auto"/>
        <w:right w:val="none" w:sz="0" w:space="0" w:color="auto"/>
      </w:divBdr>
    </w:div>
    <w:div w:id="683172842">
      <w:bodyDiv w:val="1"/>
      <w:marLeft w:val="0"/>
      <w:marRight w:val="0"/>
      <w:marTop w:val="0"/>
      <w:marBottom w:val="0"/>
      <w:divBdr>
        <w:top w:val="none" w:sz="0" w:space="0" w:color="auto"/>
        <w:left w:val="none" w:sz="0" w:space="0" w:color="auto"/>
        <w:bottom w:val="none" w:sz="0" w:space="0" w:color="auto"/>
        <w:right w:val="none" w:sz="0" w:space="0" w:color="auto"/>
      </w:divBdr>
    </w:div>
    <w:div w:id="701441334">
      <w:bodyDiv w:val="1"/>
      <w:marLeft w:val="0"/>
      <w:marRight w:val="0"/>
      <w:marTop w:val="0"/>
      <w:marBottom w:val="0"/>
      <w:divBdr>
        <w:top w:val="none" w:sz="0" w:space="0" w:color="auto"/>
        <w:left w:val="none" w:sz="0" w:space="0" w:color="auto"/>
        <w:bottom w:val="none" w:sz="0" w:space="0" w:color="auto"/>
        <w:right w:val="none" w:sz="0" w:space="0" w:color="auto"/>
      </w:divBdr>
    </w:div>
    <w:div w:id="731733368">
      <w:bodyDiv w:val="1"/>
      <w:marLeft w:val="0"/>
      <w:marRight w:val="0"/>
      <w:marTop w:val="0"/>
      <w:marBottom w:val="0"/>
      <w:divBdr>
        <w:top w:val="none" w:sz="0" w:space="0" w:color="auto"/>
        <w:left w:val="none" w:sz="0" w:space="0" w:color="auto"/>
        <w:bottom w:val="none" w:sz="0" w:space="0" w:color="auto"/>
        <w:right w:val="none" w:sz="0" w:space="0" w:color="auto"/>
      </w:divBdr>
    </w:div>
    <w:div w:id="792165666">
      <w:bodyDiv w:val="1"/>
      <w:marLeft w:val="0"/>
      <w:marRight w:val="0"/>
      <w:marTop w:val="0"/>
      <w:marBottom w:val="0"/>
      <w:divBdr>
        <w:top w:val="none" w:sz="0" w:space="0" w:color="auto"/>
        <w:left w:val="none" w:sz="0" w:space="0" w:color="auto"/>
        <w:bottom w:val="none" w:sz="0" w:space="0" w:color="auto"/>
        <w:right w:val="none" w:sz="0" w:space="0" w:color="auto"/>
      </w:divBdr>
    </w:div>
    <w:div w:id="802847121">
      <w:bodyDiv w:val="1"/>
      <w:marLeft w:val="0"/>
      <w:marRight w:val="0"/>
      <w:marTop w:val="0"/>
      <w:marBottom w:val="0"/>
      <w:divBdr>
        <w:top w:val="none" w:sz="0" w:space="0" w:color="auto"/>
        <w:left w:val="none" w:sz="0" w:space="0" w:color="auto"/>
        <w:bottom w:val="none" w:sz="0" w:space="0" w:color="auto"/>
        <w:right w:val="none" w:sz="0" w:space="0" w:color="auto"/>
      </w:divBdr>
    </w:div>
    <w:div w:id="811604316">
      <w:bodyDiv w:val="1"/>
      <w:marLeft w:val="0"/>
      <w:marRight w:val="0"/>
      <w:marTop w:val="0"/>
      <w:marBottom w:val="0"/>
      <w:divBdr>
        <w:top w:val="none" w:sz="0" w:space="0" w:color="auto"/>
        <w:left w:val="none" w:sz="0" w:space="0" w:color="auto"/>
        <w:bottom w:val="none" w:sz="0" w:space="0" w:color="auto"/>
        <w:right w:val="none" w:sz="0" w:space="0" w:color="auto"/>
      </w:divBdr>
    </w:div>
    <w:div w:id="824207469">
      <w:bodyDiv w:val="1"/>
      <w:marLeft w:val="0"/>
      <w:marRight w:val="0"/>
      <w:marTop w:val="0"/>
      <w:marBottom w:val="0"/>
      <w:divBdr>
        <w:top w:val="none" w:sz="0" w:space="0" w:color="auto"/>
        <w:left w:val="none" w:sz="0" w:space="0" w:color="auto"/>
        <w:bottom w:val="none" w:sz="0" w:space="0" w:color="auto"/>
        <w:right w:val="none" w:sz="0" w:space="0" w:color="auto"/>
      </w:divBdr>
    </w:div>
    <w:div w:id="842668848">
      <w:bodyDiv w:val="1"/>
      <w:marLeft w:val="0"/>
      <w:marRight w:val="0"/>
      <w:marTop w:val="0"/>
      <w:marBottom w:val="0"/>
      <w:divBdr>
        <w:top w:val="none" w:sz="0" w:space="0" w:color="auto"/>
        <w:left w:val="none" w:sz="0" w:space="0" w:color="auto"/>
        <w:bottom w:val="none" w:sz="0" w:space="0" w:color="auto"/>
        <w:right w:val="none" w:sz="0" w:space="0" w:color="auto"/>
      </w:divBdr>
    </w:div>
    <w:div w:id="855509627">
      <w:bodyDiv w:val="1"/>
      <w:marLeft w:val="0"/>
      <w:marRight w:val="0"/>
      <w:marTop w:val="0"/>
      <w:marBottom w:val="0"/>
      <w:divBdr>
        <w:top w:val="none" w:sz="0" w:space="0" w:color="auto"/>
        <w:left w:val="none" w:sz="0" w:space="0" w:color="auto"/>
        <w:bottom w:val="none" w:sz="0" w:space="0" w:color="auto"/>
        <w:right w:val="none" w:sz="0" w:space="0" w:color="auto"/>
      </w:divBdr>
    </w:div>
    <w:div w:id="865748686">
      <w:bodyDiv w:val="1"/>
      <w:marLeft w:val="0"/>
      <w:marRight w:val="0"/>
      <w:marTop w:val="0"/>
      <w:marBottom w:val="0"/>
      <w:divBdr>
        <w:top w:val="none" w:sz="0" w:space="0" w:color="auto"/>
        <w:left w:val="none" w:sz="0" w:space="0" w:color="auto"/>
        <w:bottom w:val="none" w:sz="0" w:space="0" w:color="auto"/>
        <w:right w:val="none" w:sz="0" w:space="0" w:color="auto"/>
      </w:divBdr>
      <w:divsChild>
        <w:div w:id="1405833159">
          <w:marLeft w:val="547"/>
          <w:marRight w:val="0"/>
          <w:marTop w:val="0"/>
          <w:marBottom w:val="0"/>
          <w:divBdr>
            <w:top w:val="none" w:sz="0" w:space="0" w:color="auto"/>
            <w:left w:val="none" w:sz="0" w:space="0" w:color="auto"/>
            <w:bottom w:val="none" w:sz="0" w:space="0" w:color="auto"/>
            <w:right w:val="none" w:sz="0" w:space="0" w:color="auto"/>
          </w:divBdr>
        </w:div>
      </w:divsChild>
    </w:div>
    <w:div w:id="882402523">
      <w:bodyDiv w:val="1"/>
      <w:marLeft w:val="0"/>
      <w:marRight w:val="0"/>
      <w:marTop w:val="0"/>
      <w:marBottom w:val="0"/>
      <w:divBdr>
        <w:top w:val="none" w:sz="0" w:space="0" w:color="auto"/>
        <w:left w:val="none" w:sz="0" w:space="0" w:color="auto"/>
        <w:bottom w:val="none" w:sz="0" w:space="0" w:color="auto"/>
        <w:right w:val="none" w:sz="0" w:space="0" w:color="auto"/>
      </w:divBdr>
    </w:div>
    <w:div w:id="896091809">
      <w:bodyDiv w:val="1"/>
      <w:marLeft w:val="0"/>
      <w:marRight w:val="0"/>
      <w:marTop w:val="0"/>
      <w:marBottom w:val="0"/>
      <w:divBdr>
        <w:top w:val="none" w:sz="0" w:space="0" w:color="auto"/>
        <w:left w:val="none" w:sz="0" w:space="0" w:color="auto"/>
        <w:bottom w:val="none" w:sz="0" w:space="0" w:color="auto"/>
        <w:right w:val="none" w:sz="0" w:space="0" w:color="auto"/>
      </w:divBdr>
    </w:div>
    <w:div w:id="908267126">
      <w:bodyDiv w:val="1"/>
      <w:marLeft w:val="0"/>
      <w:marRight w:val="0"/>
      <w:marTop w:val="0"/>
      <w:marBottom w:val="0"/>
      <w:divBdr>
        <w:top w:val="none" w:sz="0" w:space="0" w:color="auto"/>
        <w:left w:val="none" w:sz="0" w:space="0" w:color="auto"/>
        <w:bottom w:val="none" w:sz="0" w:space="0" w:color="auto"/>
        <w:right w:val="none" w:sz="0" w:space="0" w:color="auto"/>
      </w:divBdr>
    </w:div>
    <w:div w:id="908423611">
      <w:bodyDiv w:val="1"/>
      <w:marLeft w:val="0"/>
      <w:marRight w:val="0"/>
      <w:marTop w:val="0"/>
      <w:marBottom w:val="0"/>
      <w:divBdr>
        <w:top w:val="none" w:sz="0" w:space="0" w:color="auto"/>
        <w:left w:val="none" w:sz="0" w:space="0" w:color="auto"/>
        <w:bottom w:val="none" w:sz="0" w:space="0" w:color="auto"/>
        <w:right w:val="none" w:sz="0" w:space="0" w:color="auto"/>
      </w:divBdr>
    </w:div>
    <w:div w:id="968364620">
      <w:bodyDiv w:val="1"/>
      <w:marLeft w:val="0"/>
      <w:marRight w:val="0"/>
      <w:marTop w:val="0"/>
      <w:marBottom w:val="0"/>
      <w:divBdr>
        <w:top w:val="none" w:sz="0" w:space="0" w:color="auto"/>
        <w:left w:val="none" w:sz="0" w:space="0" w:color="auto"/>
        <w:bottom w:val="none" w:sz="0" w:space="0" w:color="auto"/>
        <w:right w:val="none" w:sz="0" w:space="0" w:color="auto"/>
      </w:divBdr>
    </w:div>
    <w:div w:id="975186874">
      <w:bodyDiv w:val="1"/>
      <w:marLeft w:val="0"/>
      <w:marRight w:val="0"/>
      <w:marTop w:val="0"/>
      <w:marBottom w:val="0"/>
      <w:divBdr>
        <w:top w:val="none" w:sz="0" w:space="0" w:color="auto"/>
        <w:left w:val="none" w:sz="0" w:space="0" w:color="auto"/>
        <w:bottom w:val="none" w:sz="0" w:space="0" w:color="auto"/>
        <w:right w:val="none" w:sz="0" w:space="0" w:color="auto"/>
      </w:divBdr>
    </w:div>
    <w:div w:id="980385361">
      <w:bodyDiv w:val="1"/>
      <w:marLeft w:val="0"/>
      <w:marRight w:val="0"/>
      <w:marTop w:val="0"/>
      <w:marBottom w:val="0"/>
      <w:divBdr>
        <w:top w:val="none" w:sz="0" w:space="0" w:color="auto"/>
        <w:left w:val="none" w:sz="0" w:space="0" w:color="auto"/>
        <w:bottom w:val="none" w:sz="0" w:space="0" w:color="auto"/>
        <w:right w:val="none" w:sz="0" w:space="0" w:color="auto"/>
      </w:divBdr>
    </w:div>
    <w:div w:id="1004628479">
      <w:bodyDiv w:val="1"/>
      <w:marLeft w:val="0"/>
      <w:marRight w:val="0"/>
      <w:marTop w:val="0"/>
      <w:marBottom w:val="0"/>
      <w:divBdr>
        <w:top w:val="none" w:sz="0" w:space="0" w:color="auto"/>
        <w:left w:val="none" w:sz="0" w:space="0" w:color="auto"/>
        <w:bottom w:val="none" w:sz="0" w:space="0" w:color="auto"/>
        <w:right w:val="none" w:sz="0" w:space="0" w:color="auto"/>
      </w:divBdr>
    </w:div>
    <w:div w:id="1020812302">
      <w:bodyDiv w:val="1"/>
      <w:marLeft w:val="0"/>
      <w:marRight w:val="0"/>
      <w:marTop w:val="0"/>
      <w:marBottom w:val="0"/>
      <w:divBdr>
        <w:top w:val="none" w:sz="0" w:space="0" w:color="auto"/>
        <w:left w:val="none" w:sz="0" w:space="0" w:color="auto"/>
        <w:bottom w:val="none" w:sz="0" w:space="0" w:color="auto"/>
        <w:right w:val="none" w:sz="0" w:space="0" w:color="auto"/>
      </w:divBdr>
    </w:div>
    <w:div w:id="1027100657">
      <w:bodyDiv w:val="1"/>
      <w:marLeft w:val="0"/>
      <w:marRight w:val="0"/>
      <w:marTop w:val="0"/>
      <w:marBottom w:val="0"/>
      <w:divBdr>
        <w:top w:val="none" w:sz="0" w:space="0" w:color="auto"/>
        <w:left w:val="none" w:sz="0" w:space="0" w:color="auto"/>
        <w:bottom w:val="none" w:sz="0" w:space="0" w:color="auto"/>
        <w:right w:val="none" w:sz="0" w:space="0" w:color="auto"/>
      </w:divBdr>
    </w:div>
    <w:div w:id="1027484431">
      <w:bodyDiv w:val="1"/>
      <w:marLeft w:val="0"/>
      <w:marRight w:val="0"/>
      <w:marTop w:val="0"/>
      <w:marBottom w:val="0"/>
      <w:divBdr>
        <w:top w:val="none" w:sz="0" w:space="0" w:color="auto"/>
        <w:left w:val="none" w:sz="0" w:space="0" w:color="auto"/>
        <w:bottom w:val="none" w:sz="0" w:space="0" w:color="auto"/>
        <w:right w:val="none" w:sz="0" w:space="0" w:color="auto"/>
      </w:divBdr>
    </w:div>
    <w:div w:id="1028607501">
      <w:bodyDiv w:val="1"/>
      <w:marLeft w:val="0"/>
      <w:marRight w:val="0"/>
      <w:marTop w:val="0"/>
      <w:marBottom w:val="0"/>
      <w:divBdr>
        <w:top w:val="none" w:sz="0" w:space="0" w:color="auto"/>
        <w:left w:val="none" w:sz="0" w:space="0" w:color="auto"/>
        <w:bottom w:val="none" w:sz="0" w:space="0" w:color="auto"/>
        <w:right w:val="none" w:sz="0" w:space="0" w:color="auto"/>
      </w:divBdr>
    </w:div>
    <w:div w:id="1031296411">
      <w:bodyDiv w:val="1"/>
      <w:marLeft w:val="0"/>
      <w:marRight w:val="0"/>
      <w:marTop w:val="0"/>
      <w:marBottom w:val="0"/>
      <w:divBdr>
        <w:top w:val="none" w:sz="0" w:space="0" w:color="auto"/>
        <w:left w:val="none" w:sz="0" w:space="0" w:color="auto"/>
        <w:bottom w:val="none" w:sz="0" w:space="0" w:color="auto"/>
        <w:right w:val="none" w:sz="0" w:space="0" w:color="auto"/>
      </w:divBdr>
    </w:div>
    <w:div w:id="1045955603">
      <w:bodyDiv w:val="1"/>
      <w:marLeft w:val="0"/>
      <w:marRight w:val="0"/>
      <w:marTop w:val="0"/>
      <w:marBottom w:val="0"/>
      <w:divBdr>
        <w:top w:val="none" w:sz="0" w:space="0" w:color="auto"/>
        <w:left w:val="none" w:sz="0" w:space="0" w:color="auto"/>
        <w:bottom w:val="none" w:sz="0" w:space="0" w:color="auto"/>
        <w:right w:val="none" w:sz="0" w:space="0" w:color="auto"/>
      </w:divBdr>
    </w:div>
    <w:div w:id="1049376232">
      <w:bodyDiv w:val="1"/>
      <w:marLeft w:val="0"/>
      <w:marRight w:val="0"/>
      <w:marTop w:val="0"/>
      <w:marBottom w:val="0"/>
      <w:divBdr>
        <w:top w:val="none" w:sz="0" w:space="0" w:color="auto"/>
        <w:left w:val="none" w:sz="0" w:space="0" w:color="auto"/>
        <w:bottom w:val="none" w:sz="0" w:space="0" w:color="auto"/>
        <w:right w:val="none" w:sz="0" w:space="0" w:color="auto"/>
      </w:divBdr>
      <w:divsChild>
        <w:div w:id="1269509825">
          <w:marLeft w:val="547"/>
          <w:marRight w:val="0"/>
          <w:marTop w:val="0"/>
          <w:marBottom w:val="0"/>
          <w:divBdr>
            <w:top w:val="none" w:sz="0" w:space="0" w:color="auto"/>
            <w:left w:val="none" w:sz="0" w:space="0" w:color="auto"/>
            <w:bottom w:val="none" w:sz="0" w:space="0" w:color="auto"/>
            <w:right w:val="none" w:sz="0" w:space="0" w:color="auto"/>
          </w:divBdr>
        </w:div>
      </w:divsChild>
    </w:div>
    <w:div w:id="1061829831">
      <w:bodyDiv w:val="1"/>
      <w:marLeft w:val="0"/>
      <w:marRight w:val="0"/>
      <w:marTop w:val="0"/>
      <w:marBottom w:val="0"/>
      <w:divBdr>
        <w:top w:val="none" w:sz="0" w:space="0" w:color="auto"/>
        <w:left w:val="none" w:sz="0" w:space="0" w:color="auto"/>
        <w:bottom w:val="none" w:sz="0" w:space="0" w:color="auto"/>
        <w:right w:val="none" w:sz="0" w:space="0" w:color="auto"/>
      </w:divBdr>
    </w:div>
    <w:div w:id="1069577736">
      <w:bodyDiv w:val="1"/>
      <w:marLeft w:val="0"/>
      <w:marRight w:val="0"/>
      <w:marTop w:val="0"/>
      <w:marBottom w:val="0"/>
      <w:divBdr>
        <w:top w:val="none" w:sz="0" w:space="0" w:color="auto"/>
        <w:left w:val="none" w:sz="0" w:space="0" w:color="auto"/>
        <w:bottom w:val="none" w:sz="0" w:space="0" w:color="auto"/>
        <w:right w:val="none" w:sz="0" w:space="0" w:color="auto"/>
      </w:divBdr>
      <w:divsChild>
        <w:div w:id="811991621">
          <w:marLeft w:val="547"/>
          <w:marRight w:val="0"/>
          <w:marTop w:val="0"/>
          <w:marBottom w:val="0"/>
          <w:divBdr>
            <w:top w:val="none" w:sz="0" w:space="0" w:color="auto"/>
            <w:left w:val="none" w:sz="0" w:space="0" w:color="auto"/>
            <w:bottom w:val="none" w:sz="0" w:space="0" w:color="auto"/>
            <w:right w:val="none" w:sz="0" w:space="0" w:color="auto"/>
          </w:divBdr>
        </w:div>
        <w:div w:id="1601992063">
          <w:marLeft w:val="547"/>
          <w:marRight w:val="0"/>
          <w:marTop w:val="0"/>
          <w:marBottom w:val="0"/>
          <w:divBdr>
            <w:top w:val="none" w:sz="0" w:space="0" w:color="auto"/>
            <w:left w:val="none" w:sz="0" w:space="0" w:color="auto"/>
            <w:bottom w:val="none" w:sz="0" w:space="0" w:color="auto"/>
            <w:right w:val="none" w:sz="0" w:space="0" w:color="auto"/>
          </w:divBdr>
        </w:div>
        <w:div w:id="243733317">
          <w:marLeft w:val="547"/>
          <w:marRight w:val="0"/>
          <w:marTop w:val="0"/>
          <w:marBottom w:val="0"/>
          <w:divBdr>
            <w:top w:val="none" w:sz="0" w:space="0" w:color="auto"/>
            <w:left w:val="none" w:sz="0" w:space="0" w:color="auto"/>
            <w:bottom w:val="none" w:sz="0" w:space="0" w:color="auto"/>
            <w:right w:val="none" w:sz="0" w:space="0" w:color="auto"/>
          </w:divBdr>
        </w:div>
      </w:divsChild>
    </w:div>
    <w:div w:id="1090194796">
      <w:bodyDiv w:val="1"/>
      <w:marLeft w:val="0"/>
      <w:marRight w:val="0"/>
      <w:marTop w:val="0"/>
      <w:marBottom w:val="0"/>
      <w:divBdr>
        <w:top w:val="none" w:sz="0" w:space="0" w:color="auto"/>
        <w:left w:val="none" w:sz="0" w:space="0" w:color="auto"/>
        <w:bottom w:val="none" w:sz="0" w:space="0" w:color="auto"/>
        <w:right w:val="none" w:sz="0" w:space="0" w:color="auto"/>
      </w:divBdr>
    </w:div>
    <w:div w:id="1095709878">
      <w:bodyDiv w:val="1"/>
      <w:marLeft w:val="0"/>
      <w:marRight w:val="0"/>
      <w:marTop w:val="0"/>
      <w:marBottom w:val="0"/>
      <w:divBdr>
        <w:top w:val="none" w:sz="0" w:space="0" w:color="auto"/>
        <w:left w:val="none" w:sz="0" w:space="0" w:color="auto"/>
        <w:bottom w:val="none" w:sz="0" w:space="0" w:color="auto"/>
        <w:right w:val="none" w:sz="0" w:space="0" w:color="auto"/>
      </w:divBdr>
    </w:div>
    <w:div w:id="1101560473">
      <w:bodyDiv w:val="1"/>
      <w:marLeft w:val="0"/>
      <w:marRight w:val="0"/>
      <w:marTop w:val="0"/>
      <w:marBottom w:val="0"/>
      <w:divBdr>
        <w:top w:val="none" w:sz="0" w:space="0" w:color="auto"/>
        <w:left w:val="none" w:sz="0" w:space="0" w:color="auto"/>
        <w:bottom w:val="none" w:sz="0" w:space="0" w:color="auto"/>
        <w:right w:val="none" w:sz="0" w:space="0" w:color="auto"/>
      </w:divBdr>
    </w:div>
    <w:div w:id="1108542400">
      <w:bodyDiv w:val="1"/>
      <w:marLeft w:val="0"/>
      <w:marRight w:val="0"/>
      <w:marTop w:val="0"/>
      <w:marBottom w:val="0"/>
      <w:divBdr>
        <w:top w:val="none" w:sz="0" w:space="0" w:color="auto"/>
        <w:left w:val="none" w:sz="0" w:space="0" w:color="auto"/>
        <w:bottom w:val="none" w:sz="0" w:space="0" w:color="auto"/>
        <w:right w:val="none" w:sz="0" w:space="0" w:color="auto"/>
      </w:divBdr>
    </w:div>
    <w:div w:id="1134832107">
      <w:bodyDiv w:val="1"/>
      <w:marLeft w:val="0"/>
      <w:marRight w:val="0"/>
      <w:marTop w:val="0"/>
      <w:marBottom w:val="0"/>
      <w:divBdr>
        <w:top w:val="none" w:sz="0" w:space="0" w:color="auto"/>
        <w:left w:val="none" w:sz="0" w:space="0" w:color="auto"/>
        <w:bottom w:val="none" w:sz="0" w:space="0" w:color="auto"/>
        <w:right w:val="none" w:sz="0" w:space="0" w:color="auto"/>
      </w:divBdr>
    </w:div>
    <w:div w:id="1137643624">
      <w:bodyDiv w:val="1"/>
      <w:marLeft w:val="0"/>
      <w:marRight w:val="0"/>
      <w:marTop w:val="0"/>
      <w:marBottom w:val="0"/>
      <w:divBdr>
        <w:top w:val="none" w:sz="0" w:space="0" w:color="auto"/>
        <w:left w:val="none" w:sz="0" w:space="0" w:color="auto"/>
        <w:bottom w:val="none" w:sz="0" w:space="0" w:color="auto"/>
        <w:right w:val="none" w:sz="0" w:space="0" w:color="auto"/>
      </w:divBdr>
    </w:div>
    <w:div w:id="1141995805">
      <w:bodyDiv w:val="1"/>
      <w:marLeft w:val="0"/>
      <w:marRight w:val="0"/>
      <w:marTop w:val="0"/>
      <w:marBottom w:val="0"/>
      <w:divBdr>
        <w:top w:val="none" w:sz="0" w:space="0" w:color="auto"/>
        <w:left w:val="none" w:sz="0" w:space="0" w:color="auto"/>
        <w:bottom w:val="none" w:sz="0" w:space="0" w:color="auto"/>
        <w:right w:val="none" w:sz="0" w:space="0" w:color="auto"/>
      </w:divBdr>
    </w:div>
    <w:div w:id="1160459374">
      <w:bodyDiv w:val="1"/>
      <w:marLeft w:val="0"/>
      <w:marRight w:val="0"/>
      <w:marTop w:val="0"/>
      <w:marBottom w:val="0"/>
      <w:divBdr>
        <w:top w:val="none" w:sz="0" w:space="0" w:color="auto"/>
        <w:left w:val="none" w:sz="0" w:space="0" w:color="auto"/>
        <w:bottom w:val="none" w:sz="0" w:space="0" w:color="auto"/>
        <w:right w:val="none" w:sz="0" w:space="0" w:color="auto"/>
      </w:divBdr>
    </w:div>
    <w:div w:id="1161847955">
      <w:bodyDiv w:val="1"/>
      <w:marLeft w:val="0"/>
      <w:marRight w:val="0"/>
      <w:marTop w:val="0"/>
      <w:marBottom w:val="0"/>
      <w:divBdr>
        <w:top w:val="none" w:sz="0" w:space="0" w:color="auto"/>
        <w:left w:val="none" w:sz="0" w:space="0" w:color="auto"/>
        <w:bottom w:val="none" w:sz="0" w:space="0" w:color="auto"/>
        <w:right w:val="none" w:sz="0" w:space="0" w:color="auto"/>
      </w:divBdr>
    </w:div>
    <w:div w:id="1168524775">
      <w:bodyDiv w:val="1"/>
      <w:marLeft w:val="0"/>
      <w:marRight w:val="0"/>
      <w:marTop w:val="0"/>
      <w:marBottom w:val="0"/>
      <w:divBdr>
        <w:top w:val="none" w:sz="0" w:space="0" w:color="auto"/>
        <w:left w:val="none" w:sz="0" w:space="0" w:color="auto"/>
        <w:bottom w:val="none" w:sz="0" w:space="0" w:color="auto"/>
        <w:right w:val="none" w:sz="0" w:space="0" w:color="auto"/>
      </w:divBdr>
    </w:div>
    <w:div w:id="1197696117">
      <w:bodyDiv w:val="1"/>
      <w:marLeft w:val="0"/>
      <w:marRight w:val="0"/>
      <w:marTop w:val="0"/>
      <w:marBottom w:val="0"/>
      <w:divBdr>
        <w:top w:val="none" w:sz="0" w:space="0" w:color="auto"/>
        <w:left w:val="none" w:sz="0" w:space="0" w:color="auto"/>
        <w:bottom w:val="none" w:sz="0" w:space="0" w:color="auto"/>
        <w:right w:val="none" w:sz="0" w:space="0" w:color="auto"/>
      </w:divBdr>
    </w:div>
    <w:div w:id="1205798741">
      <w:bodyDiv w:val="1"/>
      <w:marLeft w:val="0"/>
      <w:marRight w:val="0"/>
      <w:marTop w:val="0"/>
      <w:marBottom w:val="0"/>
      <w:divBdr>
        <w:top w:val="none" w:sz="0" w:space="0" w:color="auto"/>
        <w:left w:val="none" w:sz="0" w:space="0" w:color="auto"/>
        <w:bottom w:val="none" w:sz="0" w:space="0" w:color="auto"/>
        <w:right w:val="none" w:sz="0" w:space="0" w:color="auto"/>
      </w:divBdr>
      <w:divsChild>
        <w:div w:id="455638744">
          <w:marLeft w:val="446"/>
          <w:marRight w:val="0"/>
          <w:marTop w:val="0"/>
          <w:marBottom w:val="120"/>
          <w:divBdr>
            <w:top w:val="none" w:sz="0" w:space="0" w:color="auto"/>
            <w:left w:val="none" w:sz="0" w:space="0" w:color="auto"/>
            <w:bottom w:val="none" w:sz="0" w:space="0" w:color="auto"/>
            <w:right w:val="none" w:sz="0" w:space="0" w:color="auto"/>
          </w:divBdr>
        </w:div>
        <w:div w:id="632491950">
          <w:marLeft w:val="446"/>
          <w:marRight w:val="0"/>
          <w:marTop w:val="0"/>
          <w:marBottom w:val="120"/>
          <w:divBdr>
            <w:top w:val="none" w:sz="0" w:space="0" w:color="auto"/>
            <w:left w:val="none" w:sz="0" w:space="0" w:color="auto"/>
            <w:bottom w:val="none" w:sz="0" w:space="0" w:color="auto"/>
            <w:right w:val="none" w:sz="0" w:space="0" w:color="auto"/>
          </w:divBdr>
        </w:div>
        <w:div w:id="719285968">
          <w:marLeft w:val="446"/>
          <w:marRight w:val="0"/>
          <w:marTop w:val="0"/>
          <w:marBottom w:val="120"/>
          <w:divBdr>
            <w:top w:val="none" w:sz="0" w:space="0" w:color="auto"/>
            <w:left w:val="none" w:sz="0" w:space="0" w:color="auto"/>
            <w:bottom w:val="none" w:sz="0" w:space="0" w:color="auto"/>
            <w:right w:val="none" w:sz="0" w:space="0" w:color="auto"/>
          </w:divBdr>
        </w:div>
        <w:div w:id="738678269">
          <w:marLeft w:val="446"/>
          <w:marRight w:val="0"/>
          <w:marTop w:val="0"/>
          <w:marBottom w:val="120"/>
          <w:divBdr>
            <w:top w:val="none" w:sz="0" w:space="0" w:color="auto"/>
            <w:left w:val="none" w:sz="0" w:space="0" w:color="auto"/>
            <w:bottom w:val="none" w:sz="0" w:space="0" w:color="auto"/>
            <w:right w:val="none" w:sz="0" w:space="0" w:color="auto"/>
          </w:divBdr>
        </w:div>
        <w:div w:id="1705212587">
          <w:marLeft w:val="446"/>
          <w:marRight w:val="0"/>
          <w:marTop w:val="0"/>
          <w:marBottom w:val="120"/>
          <w:divBdr>
            <w:top w:val="none" w:sz="0" w:space="0" w:color="auto"/>
            <w:left w:val="none" w:sz="0" w:space="0" w:color="auto"/>
            <w:bottom w:val="none" w:sz="0" w:space="0" w:color="auto"/>
            <w:right w:val="none" w:sz="0" w:space="0" w:color="auto"/>
          </w:divBdr>
        </w:div>
      </w:divsChild>
    </w:div>
    <w:div w:id="1227837745">
      <w:bodyDiv w:val="1"/>
      <w:marLeft w:val="0"/>
      <w:marRight w:val="0"/>
      <w:marTop w:val="0"/>
      <w:marBottom w:val="0"/>
      <w:divBdr>
        <w:top w:val="none" w:sz="0" w:space="0" w:color="auto"/>
        <w:left w:val="none" w:sz="0" w:space="0" w:color="auto"/>
        <w:bottom w:val="none" w:sz="0" w:space="0" w:color="auto"/>
        <w:right w:val="none" w:sz="0" w:space="0" w:color="auto"/>
      </w:divBdr>
    </w:div>
    <w:div w:id="1249998767">
      <w:bodyDiv w:val="1"/>
      <w:marLeft w:val="0"/>
      <w:marRight w:val="0"/>
      <w:marTop w:val="0"/>
      <w:marBottom w:val="0"/>
      <w:divBdr>
        <w:top w:val="none" w:sz="0" w:space="0" w:color="auto"/>
        <w:left w:val="none" w:sz="0" w:space="0" w:color="auto"/>
        <w:bottom w:val="none" w:sz="0" w:space="0" w:color="auto"/>
        <w:right w:val="none" w:sz="0" w:space="0" w:color="auto"/>
      </w:divBdr>
      <w:divsChild>
        <w:div w:id="1065180906">
          <w:marLeft w:val="0"/>
          <w:marRight w:val="0"/>
          <w:marTop w:val="0"/>
          <w:marBottom w:val="0"/>
          <w:divBdr>
            <w:top w:val="none" w:sz="0" w:space="0" w:color="auto"/>
            <w:left w:val="none" w:sz="0" w:space="0" w:color="auto"/>
            <w:bottom w:val="none" w:sz="0" w:space="0" w:color="auto"/>
            <w:right w:val="none" w:sz="0" w:space="0" w:color="auto"/>
          </w:divBdr>
          <w:divsChild>
            <w:div w:id="1352144519">
              <w:marLeft w:val="0"/>
              <w:marRight w:val="0"/>
              <w:marTop w:val="0"/>
              <w:marBottom w:val="0"/>
              <w:divBdr>
                <w:top w:val="none" w:sz="0" w:space="0" w:color="auto"/>
                <w:left w:val="none" w:sz="0" w:space="0" w:color="auto"/>
                <w:bottom w:val="none" w:sz="0" w:space="0" w:color="auto"/>
                <w:right w:val="none" w:sz="0" w:space="0" w:color="auto"/>
              </w:divBdr>
              <w:divsChild>
                <w:div w:id="1824152648">
                  <w:marLeft w:val="0"/>
                  <w:marRight w:val="0"/>
                  <w:marTop w:val="0"/>
                  <w:marBottom w:val="0"/>
                  <w:divBdr>
                    <w:top w:val="none" w:sz="0" w:space="0" w:color="auto"/>
                    <w:left w:val="none" w:sz="0" w:space="0" w:color="auto"/>
                    <w:bottom w:val="none" w:sz="0" w:space="0" w:color="auto"/>
                    <w:right w:val="none" w:sz="0" w:space="0" w:color="auto"/>
                  </w:divBdr>
                  <w:divsChild>
                    <w:div w:id="21053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4833">
      <w:bodyDiv w:val="1"/>
      <w:marLeft w:val="0"/>
      <w:marRight w:val="0"/>
      <w:marTop w:val="0"/>
      <w:marBottom w:val="0"/>
      <w:divBdr>
        <w:top w:val="none" w:sz="0" w:space="0" w:color="auto"/>
        <w:left w:val="none" w:sz="0" w:space="0" w:color="auto"/>
        <w:bottom w:val="none" w:sz="0" w:space="0" w:color="auto"/>
        <w:right w:val="none" w:sz="0" w:space="0" w:color="auto"/>
      </w:divBdr>
    </w:div>
    <w:div w:id="1254122956">
      <w:bodyDiv w:val="1"/>
      <w:marLeft w:val="0"/>
      <w:marRight w:val="0"/>
      <w:marTop w:val="0"/>
      <w:marBottom w:val="0"/>
      <w:divBdr>
        <w:top w:val="none" w:sz="0" w:space="0" w:color="auto"/>
        <w:left w:val="none" w:sz="0" w:space="0" w:color="auto"/>
        <w:bottom w:val="none" w:sz="0" w:space="0" w:color="auto"/>
        <w:right w:val="none" w:sz="0" w:space="0" w:color="auto"/>
      </w:divBdr>
    </w:div>
    <w:div w:id="1301576532">
      <w:bodyDiv w:val="1"/>
      <w:marLeft w:val="0"/>
      <w:marRight w:val="0"/>
      <w:marTop w:val="0"/>
      <w:marBottom w:val="0"/>
      <w:divBdr>
        <w:top w:val="none" w:sz="0" w:space="0" w:color="auto"/>
        <w:left w:val="none" w:sz="0" w:space="0" w:color="auto"/>
        <w:bottom w:val="none" w:sz="0" w:space="0" w:color="auto"/>
        <w:right w:val="none" w:sz="0" w:space="0" w:color="auto"/>
      </w:divBdr>
    </w:div>
    <w:div w:id="1317415113">
      <w:bodyDiv w:val="1"/>
      <w:marLeft w:val="0"/>
      <w:marRight w:val="0"/>
      <w:marTop w:val="0"/>
      <w:marBottom w:val="0"/>
      <w:divBdr>
        <w:top w:val="none" w:sz="0" w:space="0" w:color="auto"/>
        <w:left w:val="none" w:sz="0" w:space="0" w:color="auto"/>
        <w:bottom w:val="none" w:sz="0" w:space="0" w:color="auto"/>
        <w:right w:val="none" w:sz="0" w:space="0" w:color="auto"/>
      </w:divBdr>
    </w:div>
    <w:div w:id="1317952293">
      <w:bodyDiv w:val="1"/>
      <w:marLeft w:val="0"/>
      <w:marRight w:val="0"/>
      <w:marTop w:val="0"/>
      <w:marBottom w:val="0"/>
      <w:divBdr>
        <w:top w:val="none" w:sz="0" w:space="0" w:color="auto"/>
        <w:left w:val="none" w:sz="0" w:space="0" w:color="auto"/>
        <w:bottom w:val="none" w:sz="0" w:space="0" w:color="auto"/>
        <w:right w:val="none" w:sz="0" w:space="0" w:color="auto"/>
      </w:divBdr>
    </w:div>
    <w:div w:id="1336033358">
      <w:bodyDiv w:val="1"/>
      <w:marLeft w:val="0"/>
      <w:marRight w:val="0"/>
      <w:marTop w:val="0"/>
      <w:marBottom w:val="0"/>
      <w:divBdr>
        <w:top w:val="none" w:sz="0" w:space="0" w:color="auto"/>
        <w:left w:val="none" w:sz="0" w:space="0" w:color="auto"/>
        <w:bottom w:val="none" w:sz="0" w:space="0" w:color="auto"/>
        <w:right w:val="none" w:sz="0" w:space="0" w:color="auto"/>
      </w:divBdr>
    </w:div>
    <w:div w:id="1409762786">
      <w:bodyDiv w:val="1"/>
      <w:marLeft w:val="0"/>
      <w:marRight w:val="0"/>
      <w:marTop w:val="0"/>
      <w:marBottom w:val="0"/>
      <w:divBdr>
        <w:top w:val="none" w:sz="0" w:space="0" w:color="auto"/>
        <w:left w:val="none" w:sz="0" w:space="0" w:color="auto"/>
        <w:bottom w:val="none" w:sz="0" w:space="0" w:color="auto"/>
        <w:right w:val="none" w:sz="0" w:space="0" w:color="auto"/>
      </w:divBdr>
      <w:divsChild>
        <w:div w:id="220404275">
          <w:marLeft w:val="446"/>
          <w:marRight w:val="0"/>
          <w:marTop w:val="0"/>
          <w:marBottom w:val="120"/>
          <w:divBdr>
            <w:top w:val="none" w:sz="0" w:space="0" w:color="auto"/>
            <w:left w:val="none" w:sz="0" w:space="0" w:color="auto"/>
            <w:bottom w:val="none" w:sz="0" w:space="0" w:color="auto"/>
            <w:right w:val="none" w:sz="0" w:space="0" w:color="auto"/>
          </w:divBdr>
        </w:div>
        <w:div w:id="1629317406">
          <w:marLeft w:val="1166"/>
          <w:marRight w:val="0"/>
          <w:marTop w:val="0"/>
          <w:marBottom w:val="0"/>
          <w:divBdr>
            <w:top w:val="none" w:sz="0" w:space="0" w:color="auto"/>
            <w:left w:val="none" w:sz="0" w:space="0" w:color="auto"/>
            <w:bottom w:val="none" w:sz="0" w:space="0" w:color="auto"/>
            <w:right w:val="none" w:sz="0" w:space="0" w:color="auto"/>
          </w:divBdr>
        </w:div>
      </w:divsChild>
    </w:div>
    <w:div w:id="1434201182">
      <w:bodyDiv w:val="1"/>
      <w:marLeft w:val="0"/>
      <w:marRight w:val="0"/>
      <w:marTop w:val="0"/>
      <w:marBottom w:val="0"/>
      <w:divBdr>
        <w:top w:val="none" w:sz="0" w:space="0" w:color="auto"/>
        <w:left w:val="none" w:sz="0" w:space="0" w:color="auto"/>
        <w:bottom w:val="none" w:sz="0" w:space="0" w:color="auto"/>
        <w:right w:val="none" w:sz="0" w:space="0" w:color="auto"/>
      </w:divBdr>
    </w:div>
    <w:div w:id="1434207748">
      <w:bodyDiv w:val="1"/>
      <w:marLeft w:val="0"/>
      <w:marRight w:val="0"/>
      <w:marTop w:val="0"/>
      <w:marBottom w:val="0"/>
      <w:divBdr>
        <w:top w:val="none" w:sz="0" w:space="0" w:color="auto"/>
        <w:left w:val="none" w:sz="0" w:space="0" w:color="auto"/>
        <w:bottom w:val="none" w:sz="0" w:space="0" w:color="auto"/>
        <w:right w:val="none" w:sz="0" w:space="0" w:color="auto"/>
      </w:divBdr>
    </w:div>
    <w:div w:id="1434283963">
      <w:bodyDiv w:val="1"/>
      <w:marLeft w:val="0"/>
      <w:marRight w:val="0"/>
      <w:marTop w:val="0"/>
      <w:marBottom w:val="0"/>
      <w:divBdr>
        <w:top w:val="none" w:sz="0" w:space="0" w:color="auto"/>
        <w:left w:val="none" w:sz="0" w:space="0" w:color="auto"/>
        <w:bottom w:val="none" w:sz="0" w:space="0" w:color="auto"/>
        <w:right w:val="none" w:sz="0" w:space="0" w:color="auto"/>
      </w:divBdr>
    </w:div>
    <w:div w:id="1446577380">
      <w:bodyDiv w:val="1"/>
      <w:marLeft w:val="0"/>
      <w:marRight w:val="0"/>
      <w:marTop w:val="0"/>
      <w:marBottom w:val="0"/>
      <w:divBdr>
        <w:top w:val="none" w:sz="0" w:space="0" w:color="auto"/>
        <w:left w:val="none" w:sz="0" w:space="0" w:color="auto"/>
        <w:bottom w:val="none" w:sz="0" w:space="0" w:color="auto"/>
        <w:right w:val="none" w:sz="0" w:space="0" w:color="auto"/>
      </w:divBdr>
    </w:div>
    <w:div w:id="1448432615">
      <w:bodyDiv w:val="1"/>
      <w:marLeft w:val="0"/>
      <w:marRight w:val="0"/>
      <w:marTop w:val="0"/>
      <w:marBottom w:val="0"/>
      <w:divBdr>
        <w:top w:val="none" w:sz="0" w:space="0" w:color="auto"/>
        <w:left w:val="none" w:sz="0" w:space="0" w:color="auto"/>
        <w:bottom w:val="none" w:sz="0" w:space="0" w:color="auto"/>
        <w:right w:val="none" w:sz="0" w:space="0" w:color="auto"/>
      </w:divBdr>
    </w:div>
    <w:div w:id="1455059835">
      <w:bodyDiv w:val="1"/>
      <w:marLeft w:val="0"/>
      <w:marRight w:val="0"/>
      <w:marTop w:val="0"/>
      <w:marBottom w:val="0"/>
      <w:divBdr>
        <w:top w:val="none" w:sz="0" w:space="0" w:color="auto"/>
        <w:left w:val="none" w:sz="0" w:space="0" w:color="auto"/>
        <w:bottom w:val="none" w:sz="0" w:space="0" w:color="auto"/>
        <w:right w:val="none" w:sz="0" w:space="0" w:color="auto"/>
      </w:divBdr>
    </w:div>
    <w:div w:id="1474247718">
      <w:bodyDiv w:val="1"/>
      <w:marLeft w:val="0"/>
      <w:marRight w:val="0"/>
      <w:marTop w:val="0"/>
      <w:marBottom w:val="0"/>
      <w:divBdr>
        <w:top w:val="none" w:sz="0" w:space="0" w:color="auto"/>
        <w:left w:val="none" w:sz="0" w:space="0" w:color="auto"/>
        <w:bottom w:val="none" w:sz="0" w:space="0" w:color="auto"/>
        <w:right w:val="none" w:sz="0" w:space="0" w:color="auto"/>
      </w:divBdr>
    </w:div>
    <w:div w:id="1475953797">
      <w:bodyDiv w:val="1"/>
      <w:marLeft w:val="0"/>
      <w:marRight w:val="0"/>
      <w:marTop w:val="0"/>
      <w:marBottom w:val="0"/>
      <w:divBdr>
        <w:top w:val="none" w:sz="0" w:space="0" w:color="auto"/>
        <w:left w:val="none" w:sz="0" w:space="0" w:color="auto"/>
        <w:bottom w:val="none" w:sz="0" w:space="0" w:color="auto"/>
        <w:right w:val="none" w:sz="0" w:space="0" w:color="auto"/>
      </w:divBdr>
    </w:div>
    <w:div w:id="1506243745">
      <w:bodyDiv w:val="1"/>
      <w:marLeft w:val="0"/>
      <w:marRight w:val="0"/>
      <w:marTop w:val="0"/>
      <w:marBottom w:val="0"/>
      <w:divBdr>
        <w:top w:val="none" w:sz="0" w:space="0" w:color="auto"/>
        <w:left w:val="none" w:sz="0" w:space="0" w:color="auto"/>
        <w:bottom w:val="none" w:sz="0" w:space="0" w:color="auto"/>
        <w:right w:val="none" w:sz="0" w:space="0" w:color="auto"/>
      </w:divBdr>
    </w:div>
    <w:div w:id="1514032110">
      <w:bodyDiv w:val="1"/>
      <w:marLeft w:val="0"/>
      <w:marRight w:val="0"/>
      <w:marTop w:val="0"/>
      <w:marBottom w:val="0"/>
      <w:divBdr>
        <w:top w:val="none" w:sz="0" w:space="0" w:color="auto"/>
        <w:left w:val="none" w:sz="0" w:space="0" w:color="auto"/>
        <w:bottom w:val="none" w:sz="0" w:space="0" w:color="auto"/>
        <w:right w:val="none" w:sz="0" w:space="0" w:color="auto"/>
      </w:divBdr>
    </w:div>
    <w:div w:id="1536236120">
      <w:bodyDiv w:val="1"/>
      <w:marLeft w:val="0"/>
      <w:marRight w:val="0"/>
      <w:marTop w:val="0"/>
      <w:marBottom w:val="0"/>
      <w:divBdr>
        <w:top w:val="none" w:sz="0" w:space="0" w:color="auto"/>
        <w:left w:val="none" w:sz="0" w:space="0" w:color="auto"/>
        <w:bottom w:val="none" w:sz="0" w:space="0" w:color="auto"/>
        <w:right w:val="none" w:sz="0" w:space="0" w:color="auto"/>
      </w:divBdr>
    </w:div>
    <w:div w:id="1542791542">
      <w:bodyDiv w:val="1"/>
      <w:marLeft w:val="0"/>
      <w:marRight w:val="0"/>
      <w:marTop w:val="0"/>
      <w:marBottom w:val="0"/>
      <w:divBdr>
        <w:top w:val="none" w:sz="0" w:space="0" w:color="auto"/>
        <w:left w:val="none" w:sz="0" w:space="0" w:color="auto"/>
        <w:bottom w:val="none" w:sz="0" w:space="0" w:color="auto"/>
        <w:right w:val="none" w:sz="0" w:space="0" w:color="auto"/>
      </w:divBdr>
    </w:div>
    <w:div w:id="1552885841">
      <w:bodyDiv w:val="1"/>
      <w:marLeft w:val="0"/>
      <w:marRight w:val="0"/>
      <w:marTop w:val="0"/>
      <w:marBottom w:val="0"/>
      <w:divBdr>
        <w:top w:val="none" w:sz="0" w:space="0" w:color="auto"/>
        <w:left w:val="none" w:sz="0" w:space="0" w:color="auto"/>
        <w:bottom w:val="none" w:sz="0" w:space="0" w:color="auto"/>
        <w:right w:val="none" w:sz="0" w:space="0" w:color="auto"/>
      </w:divBdr>
    </w:div>
    <w:div w:id="1570000429">
      <w:bodyDiv w:val="1"/>
      <w:marLeft w:val="0"/>
      <w:marRight w:val="0"/>
      <w:marTop w:val="0"/>
      <w:marBottom w:val="0"/>
      <w:divBdr>
        <w:top w:val="none" w:sz="0" w:space="0" w:color="auto"/>
        <w:left w:val="none" w:sz="0" w:space="0" w:color="auto"/>
        <w:bottom w:val="none" w:sz="0" w:space="0" w:color="auto"/>
        <w:right w:val="none" w:sz="0" w:space="0" w:color="auto"/>
      </w:divBdr>
    </w:div>
    <w:div w:id="1592426487">
      <w:bodyDiv w:val="1"/>
      <w:marLeft w:val="0"/>
      <w:marRight w:val="0"/>
      <w:marTop w:val="0"/>
      <w:marBottom w:val="0"/>
      <w:divBdr>
        <w:top w:val="none" w:sz="0" w:space="0" w:color="auto"/>
        <w:left w:val="none" w:sz="0" w:space="0" w:color="auto"/>
        <w:bottom w:val="none" w:sz="0" w:space="0" w:color="auto"/>
        <w:right w:val="none" w:sz="0" w:space="0" w:color="auto"/>
      </w:divBdr>
    </w:div>
    <w:div w:id="1601184425">
      <w:bodyDiv w:val="1"/>
      <w:marLeft w:val="0"/>
      <w:marRight w:val="0"/>
      <w:marTop w:val="0"/>
      <w:marBottom w:val="0"/>
      <w:divBdr>
        <w:top w:val="none" w:sz="0" w:space="0" w:color="auto"/>
        <w:left w:val="none" w:sz="0" w:space="0" w:color="auto"/>
        <w:bottom w:val="none" w:sz="0" w:space="0" w:color="auto"/>
        <w:right w:val="none" w:sz="0" w:space="0" w:color="auto"/>
      </w:divBdr>
    </w:div>
    <w:div w:id="1602495505">
      <w:bodyDiv w:val="1"/>
      <w:marLeft w:val="0"/>
      <w:marRight w:val="0"/>
      <w:marTop w:val="0"/>
      <w:marBottom w:val="0"/>
      <w:divBdr>
        <w:top w:val="none" w:sz="0" w:space="0" w:color="auto"/>
        <w:left w:val="none" w:sz="0" w:space="0" w:color="auto"/>
        <w:bottom w:val="none" w:sz="0" w:space="0" w:color="auto"/>
        <w:right w:val="none" w:sz="0" w:space="0" w:color="auto"/>
      </w:divBdr>
    </w:div>
    <w:div w:id="1611350780">
      <w:bodyDiv w:val="1"/>
      <w:marLeft w:val="0"/>
      <w:marRight w:val="0"/>
      <w:marTop w:val="0"/>
      <w:marBottom w:val="0"/>
      <w:divBdr>
        <w:top w:val="none" w:sz="0" w:space="0" w:color="auto"/>
        <w:left w:val="none" w:sz="0" w:space="0" w:color="auto"/>
        <w:bottom w:val="none" w:sz="0" w:space="0" w:color="auto"/>
        <w:right w:val="none" w:sz="0" w:space="0" w:color="auto"/>
      </w:divBdr>
    </w:div>
    <w:div w:id="1620988593">
      <w:bodyDiv w:val="1"/>
      <w:marLeft w:val="0"/>
      <w:marRight w:val="0"/>
      <w:marTop w:val="0"/>
      <w:marBottom w:val="0"/>
      <w:divBdr>
        <w:top w:val="none" w:sz="0" w:space="0" w:color="auto"/>
        <w:left w:val="none" w:sz="0" w:space="0" w:color="auto"/>
        <w:bottom w:val="none" w:sz="0" w:space="0" w:color="auto"/>
        <w:right w:val="none" w:sz="0" w:space="0" w:color="auto"/>
      </w:divBdr>
    </w:div>
    <w:div w:id="1637685537">
      <w:bodyDiv w:val="1"/>
      <w:marLeft w:val="0"/>
      <w:marRight w:val="0"/>
      <w:marTop w:val="0"/>
      <w:marBottom w:val="0"/>
      <w:divBdr>
        <w:top w:val="none" w:sz="0" w:space="0" w:color="auto"/>
        <w:left w:val="none" w:sz="0" w:space="0" w:color="auto"/>
        <w:bottom w:val="none" w:sz="0" w:space="0" w:color="auto"/>
        <w:right w:val="none" w:sz="0" w:space="0" w:color="auto"/>
      </w:divBdr>
    </w:div>
    <w:div w:id="1658531564">
      <w:bodyDiv w:val="1"/>
      <w:marLeft w:val="0"/>
      <w:marRight w:val="0"/>
      <w:marTop w:val="0"/>
      <w:marBottom w:val="0"/>
      <w:divBdr>
        <w:top w:val="none" w:sz="0" w:space="0" w:color="auto"/>
        <w:left w:val="none" w:sz="0" w:space="0" w:color="auto"/>
        <w:bottom w:val="none" w:sz="0" w:space="0" w:color="auto"/>
        <w:right w:val="none" w:sz="0" w:space="0" w:color="auto"/>
      </w:divBdr>
      <w:divsChild>
        <w:div w:id="1105464549">
          <w:marLeft w:val="0"/>
          <w:marRight w:val="0"/>
          <w:marTop w:val="0"/>
          <w:marBottom w:val="0"/>
          <w:divBdr>
            <w:top w:val="none" w:sz="0" w:space="0" w:color="auto"/>
            <w:left w:val="none" w:sz="0" w:space="0" w:color="auto"/>
            <w:bottom w:val="none" w:sz="0" w:space="0" w:color="auto"/>
            <w:right w:val="none" w:sz="0" w:space="0" w:color="auto"/>
          </w:divBdr>
          <w:divsChild>
            <w:div w:id="559054748">
              <w:marLeft w:val="0"/>
              <w:marRight w:val="0"/>
              <w:marTop w:val="0"/>
              <w:marBottom w:val="0"/>
              <w:divBdr>
                <w:top w:val="none" w:sz="0" w:space="0" w:color="auto"/>
                <w:left w:val="none" w:sz="0" w:space="0" w:color="auto"/>
                <w:bottom w:val="none" w:sz="0" w:space="0" w:color="auto"/>
                <w:right w:val="none" w:sz="0" w:space="0" w:color="auto"/>
              </w:divBdr>
              <w:divsChild>
                <w:div w:id="980118129">
                  <w:marLeft w:val="0"/>
                  <w:marRight w:val="0"/>
                  <w:marTop w:val="0"/>
                  <w:marBottom w:val="0"/>
                  <w:divBdr>
                    <w:top w:val="none" w:sz="0" w:space="0" w:color="auto"/>
                    <w:left w:val="none" w:sz="0" w:space="0" w:color="auto"/>
                    <w:bottom w:val="none" w:sz="0" w:space="0" w:color="auto"/>
                    <w:right w:val="none" w:sz="0" w:space="0" w:color="auto"/>
                  </w:divBdr>
                  <w:divsChild>
                    <w:div w:id="1916351977">
                      <w:marLeft w:val="0"/>
                      <w:marRight w:val="0"/>
                      <w:marTop w:val="0"/>
                      <w:marBottom w:val="0"/>
                      <w:divBdr>
                        <w:top w:val="none" w:sz="0" w:space="0" w:color="auto"/>
                        <w:left w:val="none" w:sz="0" w:space="0" w:color="auto"/>
                        <w:bottom w:val="none" w:sz="0" w:space="0" w:color="auto"/>
                        <w:right w:val="none" w:sz="0" w:space="0" w:color="auto"/>
                      </w:divBdr>
                      <w:divsChild>
                        <w:div w:id="957418372">
                          <w:marLeft w:val="0"/>
                          <w:marRight w:val="0"/>
                          <w:marTop w:val="0"/>
                          <w:marBottom w:val="0"/>
                          <w:divBdr>
                            <w:top w:val="none" w:sz="0" w:space="0" w:color="auto"/>
                            <w:left w:val="none" w:sz="0" w:space="0" w:color="auto"/>
                            <w:bottom w:val="none" w:sz="0" w:space="0" w:color="auto"/>
                            <w:right w:val="none" w:sz="0" w:space="0" w:color="auto"/>
                          </w:divBdr>
                          <w:divsChild>
                            <w:div w:id="1587375690">
                              <w:marLeft w:val="0"/>
                              <w:marRight w:val="0"/>
                              <w:marTop w:val="0"/>
                              <w:marBottom w:val="0"/>
                              <w:divBdr>
                                <w:top w:val="none" w:sz="0" w:space="0" w:color="auto"/>
                                <w:left w:val="none" w:sz="0" w:space="0" w:color="auto"/>
                                <w:bottom w:val="none" w:sz="0" w:space="0" w:color="auto"/>
                                <w:right w:val="none" w:sz="0" w:space="0" w:color="auto"/>
                              </w:divBdr>
                              <w:divsChild>
                                <w:div w:id="1213077114">
                                  <w:marLeft w:val="0"/>
                                  <w:marRight w:val="0"/>
                                  <w:marTop w:val="0"/>
                                  <w:marBottom w:val="0"/>
                                  <w:divBdr>
                                    <w:top w:val="none" w:sz="0" w:space="0" w:color="auto"/>
                                    <w:left w:val="none" w:sz="0" w:space="0" w:color="auto"/>
                                    <w:bottom w:val="none" w:sz="0" w:space="0" w:color="auto"/>
                                    <w:right w:val="none" w:sz="0" w:space="0" w:color="auto"/>
                                  </w:divBdr>
                                  <w:divsChild>
                                    <w:div w:id="20164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7496">
                          <w:marLeft w:val="0"/>
                          <w:marRight w:val="0"/>
                          <w:marTop w:val="0"/>
                          <w:marBottom w:val="0"/>
                          <w:divBdr>
                            <w:top w:val="none" w:sz="0" w:space="0" w:color="auto"/>
                            <w:left w:val="none" w:sz="0" w:space="0" w:color="auto"/>
                            <w:bottom w:val="none" w:sz="0" w:space="0" w:color="auto"/>
                            <w:right w:val="none" w:sz="0" w:space="0" w:color="auto"/>
                          </w:divBdr>
                          <w:divsChild>
                            <w:div w:id="430515695">
                              <w:marLeft w:val="0"/>
                              <w:marRight w:val="0"/>
                              <w:marTop w:val="0"/>
                              <w:marBottom w:val="0"/>
                              <w:divBdr>
                                <w:top w:val="none" w:sz="0" w:space="0" w:color="auto"/>
                                <w:left w:val="none" w:sz="0" w:space="0" w:color="auto"/>
                                <w:bottom w:val="none" w:sz="0" w:space="0" w:color="auto"/>
                                <w:right w:val="none" w:sz="0" w:space="0" w:color="auto"/>
                              </w:divBdr>
                              <w:divsChild>
                                <w:div w:id="282806488">
                                  <w:marLeft w:val="0"/>
                                  <w:marRight w:val="0"/>
                                  <w:marTop w:val="0"/>
                                  <w:marBottom w:val="0"/>
                                  <w:divBdr>
                                    <w:top w:val="none" w:sz="0" w:space="0" w:color="auto"/>
                                    <w:left w:val="none" w:sz="0" w:space="0" w:color="auto"/>
                                    <w:bottom w:val="none" w:sz="0" w:space="0" w:color="auto"/>
                                    <w:right w:val="none" w:sz="0" w:space="0" w:color="auto"/>
                                  </w:divBdr>
                                  <w:divsChild>
                                    <w:div w:id="16571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16464">
          <w:marLeft w:val="0"/>
          <w:marRight w:val="0"/>
          <w:marTop w:val="0"/>
          <w:marBottom w:val="0"/>
          <w:divBdr>
            <w:top w:val="none" w:sz="0" w:space="0" w:color="auto"/>
            <w:left w:val="none" w:sz="0" w:space="0" w:color="auto"/>
            <w:bottom w:val="none" w:sz="0" w:space="0" w:color="auto"/>
            <w:right w:val="none" w:sz="0" w:space="0" w:color="auto"/>
          </w:divBdr>
          <w:divsChild>
            <w:div w:id="596786851">
              <w:marLeft w:val="0"/>
              <w:marRight w:val="0"/>
              <w:marTop w:val="0"/>
              <w:marBottom w:val="0"/>
              <w:divBdr>
                <w:top w:val="none" w:sz="0" w:space="0" w:color="auto"/>
                <w:left w:val="none" w:sz="0" w:space="0" w:color="auto"/>
                <w:bottom w:val="none" w:sz="0" w:space="0" w:color="auto"/>
                <w:right w:val="none" w:sz="0" w:space="0" w:color="auto"/>
              </w:divBdr>
              <w:divsChild>
                <w:div w:id="1892418114">
                  <w:marLeft w:val="0"/>
                  <w:marRight w:val="0"/>
                  <w:marTop w:val="0"/>
                  <w:marBottom w:val="0"/>
                  <w:divBdr>
                    <w:top w:val="none" w:sz="0" w:space="0" w:color="auto"/>
                    <w:left w:val="none" w:sz="0" w:space="0" w:color="auto"/>
                    <w:bottom w:val="none" w:sz="0" w:space="0" w:color="auto"/>
                    <w:right w:val="none" w:sz="0" w:space="0" w:color="auto"/>
                  </w:divBdr>
                  <w:divsChild>
                    <w:div w:id="1330058995">
                      <w:marLeft w:val="0"/>
                      <w:marRight w:val="0"/>
                      <w:marTop w:val="0"/>
                      <w:marBottom w:val="0"/>
                      <w:divBdr>
                        <w:top w:val="none" w:sz="0" w:space="0" w:color="auto"/>
                        <w:left w:val="none" w:sz="0" w:space="0" w:color="auto"/>
                        <w:bottom w:val="none" w:sz="0" w:space="0" w:color="auto"/>
                        <w:right w:val="none" w:sz="0" w:space="0" w:color="auto"/>
                      </w:divBdr>
                      <w:divsChild>
                        <w:div w:id="840703460">
                          <w:marLeft w:val="0"/>
                          <w:marRight w:val="0"/>
                          <w:marTop w:val="0"/>
                          <w:marBottom w:val="0"/>
                          <w:divBdr>
                            <w:top w:val="none" w:sz="0" w:space="0" w:color="auto"/>
                            <w:left w:val="none" w:sz="0" w:space="0" w:color="auto"/>
                            <w:bottom w:val="none" w:sz="0" w:space="0" w:color="auto"/>
                            <w:right w:val="none" w:sz="0" w:space="0" w:color="auto"/>
                          </w:divBdr>
                          <w:divsChild>
                            <w:div w:id="1263301628">
                              <w:marLeft w:val="0"/>
                              <w:marRight w:val="0"/>
                              <w:marTop w:val="0"/>
                              <w:marBottom w:val="0"/>
                              <w:divBdr>
                                <w:top w:val="none" w:sz="0" w:space="0" w:color="auto"/>
                                <w:left w:val="none" w:sz="0" w:space="0" w:color="auto"/>
                                <w:bottom w:val="none" w:sz="0" w:space="0" w:color="auto"/>
                                <w:right w:val="none" w:sz="0" w:space="0" w:color="auto"/>
                              </w:divBdr>
                              <w:divsChild>
                                <w:div w:id="1696080373">
                                  <w:marLeft w:val="0"/>
                                  <w:marRight w:val="0"/>
                                  <w:marTop w:val="0"/>
                                  <w:marBottom w:val="0"/>
                                  <w:divBdr>
                                    <w:top w:val="none" w:sz="0" w:space="0" w:color="auto"/>
                                    <w:left w:val="none" w:sz="0" w:space="0" w:color="auto"/>
                                    <w:bottom w:val="none" w:sz="0" w:space="0" w:color="auto"/>
                                    <w:right w:val="none" w:sz="0" w:space="0" w:color="auto"/>
                                  </w:divBdr>
                                  <w:divsChild>
                                    <w:div w:id="17776754">
                                      <w:marLeft w:val="0"/>
                                      <w:marRight w:val="0"/>
                                      <w:marTop w:val="0"/>
                                      <w:marBottom w:val="0"/>
                                      <w:divBdr>
                                        <w:top w:val="none" w:sz="0" w:space="0" w:color="auto"/>
                                        <w:left w:val="none" w:sz="0" w:space="0" w:color="auto"/>
                                        <w:bottom w:val="none" w:sz="0" w:space="0" w:color="auto"/>
                                        <w:right w:val="none" w:sz="0" w:space="0" w:color="auto"/>
                                      </w:divBdr>
                                      <w:divsChild>
                                        <w:div w:id="9462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8431">
          <w:marLeft w:val="0"/>
          <w:marRight w:val="0"/>
          <w:marTop w:val="0"/>
          <w:marBottom w:val="0"/>
          <w:divBdr>
            <w:top w:val="none" w:sz="0" w:space="0" w:color="auto"/>
            <w:left w:val="none" w:sz="0" w:space="0" w:color="auto"/>
            <w:bottom w:val="none" w:sz="0" w:space="0" w:color="auto"/>
            <w:right w:val="none" w:sz="0" w:space="0" w:color="auto"/>
          </w:divBdr>
          <w:divsChild>
            <w:div w:id="1244798858">
              <w:marLeft w:val="0"/>
              <w:marRight w:val="0"/>
              <w:marTop w:val="0"/>
              <w:marBottom w:val="0"/>
              <w:divBdr>
                <w:top w:val="none" w:sz="0" w:space="0" w:color="auto"/>
                <w:left w:val="none" w:sz="0" w:space="0" w:color="auto"/>
                <w:bottom w:val="none" w:sz="0" w:space="0" w:color="auto"/>
                <w:right w:val="none" w:sz="0" w:space="0" w:color="auto"/>
              </w:divBdr>
              <w:divsChild>
                <w:div w:id="978613927">
                  <w:marLeft w:val="0"/>
                  <w:marRight w:val="0"/>
                  <w:marTop w:val="0"/>
                  <w:marBottom w:val="0"/>
                  <w:divBdr>
                    <w:top w:val="none" w:sz="0" w:space="0" w:color="auto"/>
                    <w:left w:val="none" w:sz="0" w:space="0" w:color="auto"/>
                    <w:bottom w:val="none" w:sz="0" w:space="0" w:color="auto"/>
                    <w:right w:val="none" w:sz="0" w:space="0" w:color="auto"/>
                  </w:divBdr>
                  <w:divsChild>
                    <w:div w:id="1153369360">
                      <w:marLeft w:val="0"/>
                      <w:marRight w:val="0"/>
                      <w:marTop w:val="0"/>
                      <w:marBottom w:val="0"/>
                      <w:divBdr>
                        <w:top w:val="none" w:sz="0" w:space="0" w:color="auto"/>
                        <w:left w:val="none" w:sz="0" w:space="0" w:color="auto"/>
                        <w:bottom w:val="none" w:sz="0" w:space="0" w:color="auto"/>
                        <w:right w:val="none" w:sz="0" w:space="0" w:color="auto"/>
                      </w:divBdr>
                      <w:divsChild>
                        <w:div w:id="1848402055">
                          <w:marLeft w:val="0"/>
                          <w:marRight w:val="0"/>
                          <w:marTop w:val="0"/>
                          <w:marBottom w:val="0"/>
                          <w:divBdr>
                            <w:top w:val="none" w:sz="0" w:space="0" w:color="auto"/>
                            <w:left w:val="none" w:sz="0" w:space="0" w:color="auto"/>
                            <w:bottom w:val="none" w:sz="0" w:space="0" w:color="auto"/>
                            <w:right w:val="none" w:sz="0" w:space="0" w:color="auto"/>
                          </w:divBdr>
                          <w:divsChild>
                            <w:div w:id="1776628979">
                              <w:marLeft w:val="0"/>
                              <w:marRight w:val="0"/>
                              <w:marTop w:val="0"/>
                              <w:marBottom w:val="0"/>
                              <w:divBdr>
                                <w:top w:val="none" w:sz="0" w:space="0" w:color="auto"/>
                                <w:left w:val="none" w:sz="0" w:space="0" w:color="auto"/>
                                <w:bottom w:val="none" w:sz="0" w:space="0" w:color="auto"/>
                                <w:right w:val="none" w:sz="0" w:space="0" w:color="auto"/>
                              </w:divBdr>
                              <w:divsChild>
                                <w:div w:id="20255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6656">
                  <w:marLeft w:val="0"/>
                  <w:marRight w:val="0"/>
                  <w:marTop w:val="0"/>
                  <w:marBottom w:val="0"/>
                  <w:divBdr>
                    <w:top w:val="none" w:sz="0" w:space="0" w:color="auto"/>
                    <w:left w:val="none" w:sz="0" w:space="0" w:color="auto"/>
                    <w:bottom w:val="none" w:sz="0" w:space="0" w:color="auto"/>
                    <w:right w:val="none" w:sz="0" w:space="0" w:color="auto"/>
                  </w:divBdr>
                  <w:divsChild>
                    <w:div w:id="1454245839">
                      <w:marLeft w:val="0"/>
                      <w:marRight w:val="0"/>
                      <w:marTop w:val="0"/>
                      <w:marBottom w:val="0"/>
                      <w:divBdr>
                        <w:top w:val="none" w:sz="0" w:space="0" w:color="auto"/>
                        <w:left w:val="none" w:sz="0" w:space="0" w:color="auto"/>
                        <w:bottom w:val="none" w:sz="0" w:space="0" w:color="auto"/>
                        <w:right w:val="none" w:sz="0" w:space="0" w:color="auto"/>
                      </w:divBdr>
                      <w:divsChild>
                        <w:div w:id="1904558480">
                          <w:marLeft w:val="0"/>
                          <w:marRight w:val="0"/>
                          <w:marTop w:val="0"/>
                          <w:marBottom w:val="0"/>
                          <w:divBdr>
                            <w:top w:val="none" w:sz="0" w:space="0" w:color="auto"/>
                            <w:left w:val="none" w:sz="0" w:space="0" w:color="auto"/>
                            <w:bottom w:val="none" w:sz="0" w:space="0" w:color="auto"/>
                            <w:right w:val="none" w:sz="0" w:space="0" w:color="auto"/>
                          </w:divBdr>
                          <w:divsChild>
                            <w:div w:id="2072462387">
                              <w:marLeft w:val="0"/>
                              <w:marRight w:val="0"/>
                              <w:marTop w:val="0"/>
                              <w:marBottom w:val="0"/>
                              <w:divBdr>
                                <w:top w:val="none" w:sz="0" w:space="0" w:color="auto"/>
                                <w:left w:val="none" w:sz="0" w:space="0" w:color="auto"/>
                                <w:bottom w:val="none" w:sz="0" w:space="0" w:color="auto"/>
                                <w:right w:val="none" w:sz="0" w:space="0" w:color="auto"/>
                              </w:divBdr>
                              <w:divsChild>
                                <w:div w:id="389615623">
                                  <w:marLeft w:val="0"/>
                                  <w:marRight w:val="0"/>
                                  <w:marTop w:val="0"/>
                                  <w:marBottom w:val="0"/>
                                  <w:divBdr>
                                    <w:top w:val="none" w:sz="0" w:space="0" w:color="auto"/>
                                    <w:left w:val="none" w:sz="0" w:space="0" w:color="auto"/>
                                    <w:bottom w:val="none" w:sz="0" w:space="0" w:color="auto"/>
                                    <w:right w:val="none" w:sz="0" w:space="0" w:color="auto"/>
                                  </w:divBdr>
                                  <w:divsChild>
                                    <w:div w:id="20021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924164">
      <w:bodyDiv w:val="1"/>
      <w:marLeft w:val="0"/>
      <w:marRight w:val="0"/>
      <w:marTop w:val="0"/>
      <w:marBottom w:val="0"/>
      <w:divBdr>
        <w:top w:val="none" w:sz="0" w:space="0" w:color="auto"/>
        <w:left w:val="none" w:sz="0" w:space="0" w:color="auto"/>
        <w:bottom w:val="none" w:sz="0" w:space="0" w:color="auto"/>
        <w:right w:val="none" w:sz="0" w:space="0" w:color="auto"/>
      </w:divBdr>
    </w:div>
    <w:div w:id="1665859641">
      <w:bodyDiv w:val="1"/>
      <w:marLeft w:val="0"/>
      <w:marRight w:val="0"/>
      <w:marTop w:val="0"/>
      <w:marBottom w:val="0"/>
      <w:divBdr>
        <w:top w:val="none" w:sz="0" w:space="0" w:color="auto"/>
        <w:left w:val="none" w:sz="0" w:space="0" w:color="auto"/>
        <w:bottom w:val="none" w:sz="0" w:space="0" w:color="auto"/>
        <w:right w:val="none" w:sz="0" w:space="0" w:color="auto"/>
      </w:divBdr>
    </w:div>
    <w:div w:id="1678532139">
      <w:bodyDiv w:val="1"/>
      <w:marLeft w:val="0"/>
      <w:marRight w:val="0"/>
      <w:marTop w:val="0"/>
      <w:marBottom w:val="0"/>
      <w:divBdr>
        <w:top w:val="none" w:sz="0" w:space="0" w:color="auto"/>
        <w:left w:val="none" w:sz="0" w:space="0" w:color="auto"/>
        <w:bottom w:val="none" w:sz="0" w:space="0" w:color="auto"/>
        <w:right w:val="none" w:sz="0" w:space="0" w:color="auto"/>
      </w:divBdr>
    </w:div>
    <w:div w:id="1695956848">
      <w:bodyDiv w:val="1"/>
      <w:marLeft w:val="0"/>
      <w:marRight w:val="0"/>
      <w:marTop w:val="0"/>
      <w:marBottom w:val="0"/>
      <w:divBdr>
        <w:top w:val="none" w:sz="0" w:space="0" w:color="auto"/>
        <w:left w:val="none" w:sz="0" w:space="0" w:color="auto"/>
        <w:bottom w:val="none" w:sz="0" w:space="0" w:color="auto"/>
        <w:right w:val="none" w:sz="0" w:space="0" w:color="auto"/>
      </w:divBdr>
    </w:div>
    <w:div w:id="1704935386">
      <w:bodyDiv w:val="1"/>
      <w:marLeft w:val="0"/>
      <w:marRight w:val="0"/>
      <w:marTop w:val="0"/>
      <w:marBottom w:val="0"/>
      <w:divBdr>
        <w:top w:val="none" w:sz="0" w:space="0" w:color="auto"/>
        <w:left w:val="none" w:sz="0" w:space="0" w:color="auto"/>
        <w:bottom w:val="none" w:sz="0" w:space="0" w:color="auto"/>
        <w:right w:val="none" w:sz="0" w:space="0" w:color="auto"/>
      </w:divBdr>
    </w:div>
    <w:div w:id="1770083590">
      <w:bodyDiv w:val="1"/>
      <w:marLeft w:val="0"/>
      <w:marRight w:val="0"/>
      <w:marTop w:val="0"/>
      <w:marBottom w:val="0"/>
      <w:divBdr>
        <w:top w:val="none" w:sz="0" w:space="0" w:color="auto"/>
        <w:left w:val="none" w:sz="0" w:space="0" w:color="auto"/>
        <w:bottom w:val="none" w:sz="0" w:space="0" w:color="auto"/>
        <w:right w:val="none" w:sz="0" w:space="0" w:color="auto"/>
      </w:divBdr>
    </w:div>
    <w:div w:id="1791777834">
      <w:bodyDiv w:val="1"/>
      <w:marLeft w:val="0"/>
      <w:marRight w:val="0"/>
      <w:marTop w:val="0"/>
      <w:marBottom w:val="0"/>
      <w:divBdr>
        <w:top w:val="none" w:sz="0" w:space="0" w:color="auto"/>
        <w:left w:val="none" w:sz="0" w:space="0" w:color="auto"/>
        <w:bottom w:val="none" w:sz="0" w:space="0" w:color="auto"/>
        <w:right w:val="none" w:sz="0" w:space="0" w:color="auto"/>
      </w:divBdr>
    </w:div>
    <w:div w:id="1826701865">
      <w:bodyDiv w:val="1"/>
      <w:marLeft w:val="0"/>
      <w:marRight w:val="0"/>
      <w:marTop w:val="0"/>
      <w:marBottom w:val="0"/>
      <w:divBdr>
        <w:top w:val="none" w:sz="0" w:space="0" w:color="auto"/>
        <w:left w:val="none" w:sz="0" w:space="0" w:color="auto"/>
        <w:bottom w:val="none" w:sz="0" w:space="0" w:color="auto"/>
        <w:right w:val="none" w:sz="0" w:space="0" w:color="auto"/>
      </w:divBdr>
    </w:div>
    <w:div w:id="1846942808">
      <w:bodyDiv w:val="1"/>
      <w:marLeft w:val="0"/>
      <w:marRight w:val="0"/>
      <w:marTop w:val="0"/>
      <w:marBottom w:val="0"/>
      <w:divBdr>
        <w:top w:val="none" w:sz="0" w:space="0" w:color="auto"/>
        <w:left w:val="none" w:sz="0" w:space="0" w:color="auto"/>
        <w:bottom w:val="none" w:sz="0" w:space="0" w:color="auto"/>
        <w:right w:val="none" w:sz="0" w:space="0" w:color="auto"/>
      </w:divBdr>
    </w:div>
    <w:div w:id="1895121069">
      <w:bodyDiv w:val="1"/>
      <w:marLeft w:val="0"/>
      <w:marRight w:val="0"/>
      <w:marTop w:val="0"/>
      <w:marBottom w:val="0"/>
      <w:divBdr>
        <w:top w:val="none" w:sz="0" w:space="0" w:color="auto"/>
        <w:left w:val="none" w:sz="0" w:space="0" w:color="auto"/>
        <w:bottom w:val="none" w:sz="0" w:space="0" w:color="auto"/>
        <w:right w:val="none" w:sz="0" w:space="0" w:color="auto"/>
      </w:divBdr>
    </w:div>
    <w:div w:id="1905406198">
      <w:bodyDiv w:val="1"/>
      <w:marLeft w:val="0"/>
      <w:marRight w:val="0"/>
      <w:marTop w:val="0"/>
      <w:marBottom w:val="0"/>
      <w:divBdr>
        <w:top w:val="none" w:sz="0" w:space="0" w:color="auto"/>
        <w:left w:val="none" w:sz="0" w:space="0" w:color="auto"/>
        <w:bottom w:val="none" w:sz="0" w:space="0" w:color="auto"/>
        <w:right w:val="none" w:sz="0" w:space="0" w:color="auto"/>
      </w:divBdr>
    </w:div>
    <w:div w:id="1923492297">
      <w:bodyDiv w:val="1"/>
      <w:marLeft w:val="0"/>
      <w:marRight w:val="0"/>
      <w:marTop w:val="0"/>
      <w:marBottom w:val="0"/>
      <w:divBdr>
        <w:top w:val="none" w:sz="0" w:space="0" w:color="auto"/>
        <w:left w:val="none" w:sz="0" w:space="0" w:color="auto"/>
        <w:bottom w:val="none" w:sz="0" w:space="0" w:color="auto"/>
        <w:right w:val="none" w:sz="0" w:space="0" w:color="auto"/>
      </w:divBdr>
    </w:div>
    <w:div w:id="1935241306">
      <w:bodyDiv w:val="1"/>
      <w:marLeft w:val="0"/>
      <w:marRight w:val="0"/>
      <w:marTop w:val="0"/>
      <w:marBottom w:val="0"/>
      <w:divBdr>
        <w:top w:val="none" w:sz="0" w:space="0" w:color="auto"/>
        <w:left w:val="none" w:sz="0" w:space="0" w:color="auto"/>
        <w:bottom w:val="none" w:sz="0" w:space="0" w:color="auto"/>
        <w:right w:val="none" w:sz="0" w:space="0" w:color="auto"/>
      </w:divBdr>
    </w:div>
    <w:div w:id="1958020620">
      <w:bodyDiv w:val="1"/>
      <w:marLeft w:val="0"/>
      <w:marRight w:val="0"/>
      <w:marTop w:val="0"/>
      <w:marBottom w:val="0"/>
      <w:divBdr>
        <w:top w:val="none" w:sz="0" w:space="0" w:color="auto"/>
        <w:left w:val="none" w:sz="0" w:space="0" w:color="auto"/>
        <w:bottom w:val="none" w:sz="0" w:space="0" w:color="auto"/>
        <w:right w:val="none" w:sz="0" w:space="0" w:color="auto"/>
      </w:divBdr>
      <w:divsChild>
        <w:div w:id="954599924">
          <w:marLeft w:val="0"/>
          <w:marRight w:val="0"/>
          <w:marTop w:val="0"/>
          <w:marBottom w:val="0"/>
          <w:divBdr>
            <w:top w:val="none" w:sz="0" w:space="0" w:color="auto"/>
            <w:left w:val="none" w:sz="0" w:space="0" w:color="auto"/>
            <w:bottom w:val="none" w:sz="0" w:space="0" w:color="auto"/>
            <w:right w:val="none" w:sz="0" w:space="0" w:color="auto"/>
          </w:divBdr>
          <w:divsChild>
            <w:div w:id="727343399">
              <w:marLeft w:val="0"/>
              <w:marRight w:val="0"/>
              <w:marTop w:val="0"/>
              <w:marBottom w:val="0"/>
              <w:divBdr>
                <w:top w:val="none" w:sz="0" w:space="0" w:color="auto"/>
                <w:left w:val="none" w:sz="0" w:space="0" w:color="auto"/>
                <w:bottom w:val="none" w:sz="0" w:space="0" w:color="auto"/>
                <w:right w:val="none" w:sz="0" w:space="0" w:color="auto"/>
              </w:divBdr>
              <w:divsChild>
                <w:div w:id="194733968">
                  <w:marLeft w:val="0"/>
                  <w:marRight w:val="0"/>
                  <w:marTop w:val="0"/>
                  <w:marBottom w:val="0"/>
                  <w:divBdr>
                    <w:top w:val="none" w:sz="0" w:space="0" w:color="auto"/>
                    <w:left w:val="none" w:sz="0" w:space="0" w:color="auto"/>
                    <w:bottom w:val="none" w:sz="0" w:space="0" w:color="auto"/>
                    <w:right w:val="none" w:sz="0" w:space="0" w:color="auto"/>
                  </w:divBdr>
                  <w:divsChild>
                    <w:div w:id="382216158">
                      <w:marLeft w:val="0"/>
                      <w:marRight w:val="0"/>
                      <w:marTop w:val="0"/>
                      <w:marBottom w:val="0"/>
                      <w:divBdr>
                        <w:top w:val="none" w:sz="0" w:space="0" w:color="auto"/>
                        <w:left w:val="none" w:sz="0" w:space="0" w:color="auto"/>
                        <w:bottom w:val="none" w:sz="0" w:space="0" w:color="auto"/>
                        <w:right w:val="none" w:sz="0" w:space="0" w:color="auto"/>
                      </w:divBdr>
                      <w:divsChild>
                        <w:div w:id="1047031541">
                          <w:marLeft w:val="0"/>
                          <w:marRight w:val="0"/>
                          <w:marTop w:val="0"/>
                          <w:marBottom w:val="0"/>
                          <w:divBdr>
                            <w:top w:val="none" w:sz="0" w:space="0" w:color="auto"/>
                            <w:left w:val="none" w:sz="0" w:space="0" w:color="auto"/>
                            <w:bottom w:val="none" w:sz="0" w:space="0" w:color="auto"/>
                            <w:right w:val="none" w:sz="0" w:space="0" w:color="auto"/>
                          </w:divBdr>
                          <w:divsChild>
                            <w:div w:id="1426221402">
                              <w:marLeft w:val="0"/>
                              <w:marRight w:val="0"/>
                              <w:marTop w:val="0"/>
                              <w:marBottom w:val="0"/>
                              <w:divBdr>
                                <w:top w:val="none" w:sz="0" w:space="0" w:color="auto"/>
                                <w:left w:val="none" w:sz="0" w:space="0" w:color="auto"/>
                                <w:bottom w:val="none" w:sz="0" w:space="0" w:color="auto"/>
                                <w:right w:val="none" w:sz="0" w:space="0" w:color="auto"/>
                              </w:divBdr>
                              <w:divsChild>
                                <w:div w:id="1101952140">
                                  <w:marLeft w:val="0"/>
                                  <w:marRight w:val="0"/>
                                  <w:marTop w:val="0"/>
                                  <w:marBottom w:val="0"/>
                                  <w:divBdr>
                                    <w:top w:val="none" w:sz="0" w:space="0" w:color="auto"/>
                                    <w:left w:val="none" w:sz="0" w:space="0" w:color="auto"/>
                                    <w:bottom w:val="none" w:sz="0" w:space="0" w:color="auto"/>
                                    <w:right w:val="none" w:sz="0" w:space="0" w:color="auto"/>
                                  </w:divBdr>
                                  <w:divsChild>
                                    <w:div w:id="16105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4262">
                          <w:marLeft w:val="0"/>
                          <w:marRight w:val="0"/>
                          <w:marTop w:val="0"/>
                          <w:marBottom w:val="0"/>
                          <w:divBdr>
                            <w:top w:val="none" w:sz="0" w:space="0" w:color="auto"/>
                            <w:left w:val="none" w:sz="0" w:space="0" w:color="auto"/>
                            <w:bottom w:val="none" w:sz="0" w:space="0" w:color="auto"/>
                            <w:right w:val="none" w:sz="0" w:space="0" w:color="auto"/>
                          </w:divBdr>
                          <w:divsChild>
                            <w:div w:id="652681299">
                              <w:marLeft w:val="0"/>
                              <w:marRight w:val="0"/>
                              <w:marTop w:val="0"/>
                              <w:marBottom w:val="0"/>
                              <w:divBdr>
                                <w:top w:val="none" w:sz="0" w:space="0" w:color="auto"/>
                                <w:left w:val="none" w:sz="0" w:space="0" w:color="auto"/>
                                <w:bottom w:val="none" w:sz="0" w:space="0" w:color="auto"/>
                                <w:right w:val="none" w:sz="0" w:space="0" w:color="auto"/>
                              </w:divBdr>
                              <w:divsChild>
                                <w:div w:id="687561972">
                                  <w:marLeft w:val="0"/>
                                  <w:marRight w:val="0"/>
                                  <w:marTop w:val="0"/>
                                  <w:marBottom w:val="0"/>
                                  <w:divBdr>
                                    <w:top w:val="none" w:sz="0" w:space="0" w:color="auto"/>
                                    <w:left w:val="none" w:sz="0" w:space="0" w:color="auto"/>
                                    <w:bottom w:val="none" w:sz="0" w:space="0" w:color="auto"/>
                                    <w:right w:val="none" w:sz="0" w:space="0" w:color="auto"/>
                                  </w:divBdr>
                                  <w:divsChild>
                                    <w:div w:id="13148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89970">
          <w:marLeft w:val="0"/>
          <w:marRight w:val="0"/>
          <w:marTop w:val="0"/>
          <w:marBottom w:val="0"/>
          <w:divBdr>
            <w:top w:val="none" w:sz="0" w:space="0" w:color="auto"/>
            <w:left w:val="none" w:sz="0" w:space="0" w:color="auto"/>
            <w:bottom w:val="none" w:sz="0" w:space="0" w:color="auto"/>
            <w:right w:val="none" w:sz="0" w:space="0" w:color="auto"/>
          </w:divBdr>
          <w:divsChild>
            <w:div w:id="1616597691">
              <w:marLeft w:val="0"/>
              <w:marRight w:val="0"/>
              <w:marTop w:val="0"/>
              <w:marBottom w:val="0"/>
              <w:divBdr>
                <w:top w:val="none" w:sz="0" w:space="0" w:color="auto"/>
                <w:left w:val="none" w:sz="0" w:space="0" w:color="auto"/>
                <w:bottom w:val="none" w:sz="0" w:space="0" w:color="auto"/>
                <w:right w:val="none" w:sz="0" w:space="0" w:color="auto"/>
              </w:divBdr>
              <w:divsChild>
                <w:div w:id="195973855">
                  <w:marLeft w:val="0"/>
                  <w:marRight w:val="0"/>
                  <w:marTop w:val="0"/>
                  <w:marBottom w:val="0"/>
                  <w:divBdr>
                    <w:top w:val="none" w:sz="0" w:space="0" w:color="auto"/>
                    <w:left w:val="none" w:sz="0" w:space="0" w:color="auto"/>
                    <w:bottom w:val="none" w:sz="0" w:space="0" w:color="auto"/>
                    <w:right w:val="none" w:sz="0" w:space="0" w:color="auto"/>
                  </w:divBdr>
                  <w:divsChild>
                    <w:div w:id="859901036">
                      <w:marLeft w:val="0"/>
                      <w:marRight w:val="0"/>
                      <w:marTop w:val="0"/>
                      <w:marBottom w:val="0"/>
                      <w:divBdr>
                        <w:top w:val="none" w:sz="0" w:space="0" w:color="auto"/>
                        <w:left w:val="none" w:sz="0" w:space="0" w:color="auto"/>
                        <w:bottom w:val="none" w:sz="0" w:space="0" w:color="auto"/>
                        <w:right w:val="none" w:sz="0" w:space="0" w:color="auto"/>
                      </w:divBdr>
                      <w:divsChild>
                        <w:div w:id="503595681">
                          <w:marLeft w:val="0"/>
                          <w:marRight w:val="0"/>
                          <w:marTop w:val="0"/>
                          <w:marBottom w:val="0"/>
                          <w:divBdr>
                            <w:top w:val="none" w:sz="0" w:space="0" w:color="auto"/>
                            <w:left w:val="none" w:sz="0" w:space="0" w:color="auto"/>
                            <w:bottom w:val="none" w:sz="0" w:space="0" w:color="auto"/>
                            <w:right w:val="none" w:sz="0" w:space="0" w:color="auto"/>
                          </w:divBdr>
                          <w:divsChild>
                            <w:div w:id="495069948">
                              <w:marLeft w:val="0"/>
                              <w:marRight w:val="0"/>
                              <w:marTop w:val="0"/>
                              <w:marBottom w:val="0"/>
                              <w:divBdr>
                                <w:top w:val="none" w:sz="0" w:space="0" w:color="auto"/>
                                <w:left w:val="none" w:sz="0" w:space="0" w:color="auto"/>
                                <w:bottom w:val="none" w:sz="0" w:space="0" w:color="auto"/>
                                <w:right w:val="none" w:sz="0" w:space="0" w:color="auto"/>
                              </w:divBdr>
                              <w:divsChild>
                                <w:div w:id="1999266080">
                                  <w:marLeft w:val="0"/>
                                  <w:marRight w:val="0"/>
                                  <w:marTop w:val="0"/>
                                  <w:marBottom w:val="0"/>
                                  <w:divBdr>
                                    <w:top w:val="none" w:sz="0" w:space="0" w:color="auto"/>
                                    <w:left w:val="none" w:sz="0" w:space="0" w:color="auto"/>
                                    <w:bottom w:val="none" w:sz="0" w:space="0" w:color="auto"/>
                                    <w:right w:val="none" w:sz="0" w:space="0" w:color="auto"/>
                                  </w:divBdr>
                                  <w:divsChild>
                                    <w:div w:id="956259741">
                                      <w:marLeft w:val="0"/>
                                      <w:marRight w:val="0"/>
                                      <w:marTop w:val="0"/>
                                      <w:marBottom w:val="0"/>
                                      <w:divBdr>
                                        <w:top w:val="none" w:sz="0" w:space="0" w:color="auto"/>
                                        <w:left w:val="none" w:sz="0" w:space="0" w:color="auto"/>
                                        <w:bottom w:val="none" w:sz="0" w:space="0" w:color="auto"/>
                                        <w:right w:val="none" w:sz="0" w:space="0" w:color="auto"/>
                                      </w:divBdr>
                                      <w:divsChild>
                                        <w:div w:id="1675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702037">
          <w:marLeft w:val="0"/>
          <w:marRight w:val="0"/>
          <w:marTop w:val="0"/>
          <w:marBottom w:val="0"/>
          <w:divBdr>
            <w:top w:val="none" w:sz="0" w:space="0" w:color="auto"/>
            <w:left w:val="none" w:sz="0" w:space="0" w:color="auto"/>
            <w:bottom w:val="none" w:sz="0" w:space="0" w:color="auto"/>
            <w:right w:val="none" w:sz="0" w:space="0" w:color="auto"/>
          </w:divBdr>
          <w:divsChild>
            <w:div w:id="819618010">
              <w:marLeft w:val="0"/>
              <w:marRight w:val="0"/>
              <w:marTop w:val="0"/>
              <w:marBottom w:val="0"/>
              <w:divBdr>
                <w:top w:val="none" w:sz="0" w:space="0" w:color="auto"/>
                <w:left w:val="none" w:sz="0" w:space="0" w:color="auto"/>
                <w:bottom w:val="none" w:sz="0" w:space="0" w:color="auto"/>
                <w:right w:val="none" w:sz="0" w:space="0" w:color="auto"/>
              </w:divBdr>
              <w:divsChild>
                <w:div w:id="924455166">
                  <w:marLeft w:val="0"/>
                  <w:marRight w:val="0"/>
                  <w:marTop w:val="0"/>
                  <w:marBottom w:val="0"/>
                  <w:divBdr>
                    <w:top w:val="none" w:sz="0" w:space="0" w:color="auto"/>
                    <w:left w:val="none" w:sz="0" w:space="0" w:color="auto"/>
                    <w:bottom w:val="none" w:sz="0" w:space="0" w:color="auto"/>
                    <w:right w:val="none" w:sz="0" w:space="0" w:color="auto"/>
                  </w:divBdr>
                  <w:divsChild>
                    <w:div w:id="490828549">
                      <w:marLeft w:val="0"/>
                      <w:marRight w:val="0"/>
                      <w:marTop w:val="0"/>
                      <w:marBottom w:val="0"/>
                      <w:divBdr>
                        <w:top w:val="none" w:sz="0" w:space="0" w:color="auto"/>
                        <w:left w:val="none" w:sz="0" w:space="0" w:color="auto"/>
                        <w:bottom w:val="none" w:sz="0" w:space="0" w:color="auto"/>
                        <w:right w:val="none" w:sz="0" w:space="0" w:color="auto"/>
                      </w:divBdr>
                      <w:divsChild>
                        <w:div w:id="995258280">
                          <w:marLeft w:val="0"/>
                          <w:marRight w:val="0"/>
                          <w:marTop w:val="0"/>
                          <w:marBottom w:val="0"/>
                          <w:divBdr>
                            <w:top w:val="none" w:sz="0" w:space="0" w:color="auto"/>
                            <w:left w:val="none" w:sz="0" w:space="0" w:color="auto"/>
                            <w:bottom w:val="none" w:sz="0" w:space="0" w:color="auto"/>
                            <w:right w:val="none" w:sz="0" w:space="0" w:color="auto"/>
                          </w:divBdr>
                          <w:divsChild>
                            <w:div w:id="1718629044">
                              <w:marLeft w:val="0"/>
                              <w:marRight w:val="0"/>
                              <w:marTop w:val="0"/>
                              <w:marBottom w:val="0"/>
                              <w:divBdr>
                                <w:top w:val="none" w:sz="0" w:space="0" w:color="auto"/>
                                <w:left w:val="none" w:sz="0" w:space="0" w:color="auto"/>
                                <w:bottom w:val="none" w:sz="0" w:space="0" w:color="auto"/>
                                <w:right w:val="none" w:sz="0" w:space="0" w:color="auto"/>
                              </w:divBdr>
                              <w:divsChild>
                                <w:div w:id="5086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1376">
                  <w:marLeft w:val="0"/>
                  <w:marRight w:val="0"/>
                  <w:marTop w:val="0"/>
                  <w:marBottom w:val="0"/>
                  <w:divBdr>
                    <w:top w:val="none" w:sz="0" w:space="0" w:color="auto"/>
                    <w:left w:val="none" w:sz="0" w:space="0" w:color="auto"/>
                    <w:bottom w:val="none" w:sz="0" w:space="0" w:color="auto"/>
                    <w:right w:val="none" w:sz="0" w:space="0" w:color="auto"/>
                  </w:divBdr>
                  <w:divsChild>
                    <w:div w:id="307318360">
                      <w:marLeft w:val="0"/>
                      <w:marRight w:val="0"/>
                      <w:marTop w:val="0"/>
                      <w:marBottom w:val="0"/>
                      <w:divBdr>
                        <w:top w:val="none" w:sz="0" w:space="0" w:color="auto"/>
                        <w:left w:val="none" w:sz="0" w:space="0" w:color="auto"/>
                        <w:bottom w:val="none" w:sz="0" w:space="0" w:color="auto"/>
                        <w:right w:val="none" w:sz="0" w:space="0" w:color="auto"/>
                      </w:divBdr>
                      <w:divsChild>
                        <w:div w:id="1770350356">
                          <w:marLeft w:val="0"/>
                          <w:marRight w:val="0"/>
                          <w:marTop w:val="0"/>
                          <w:marBottom w:val="0"/>
                          <w:divBdr>
                            <w:top w:val="none" w:sz="0" w:space="0" w:color="auto"/>
                            <w:left w:val="none" w:sz="0" w:space="0" w:color="auto"/>
                            <w:bottom w:val="none" w:sz="0" w:space="0" w:color="auto"/>
                            <w:right w:val="none" w:sz="0" w:space="0" w:color="auto"/>
                          </w:divBdr>
                          <w:divsChild>
                            <w:div w:id="1839687720">
                              <w:marLeft w:val="0"/>
                              <w:marRight w:val="0"/>
                              <w:marTop w:val="0"/>
                              <w:marBottom w:val="0"/>
                              <w:divBdr>
                                <w:top w:val="none" w:sz="0" w:space="0" w:color="auto"/>
                                <w:left w:val="none" w:sz="0" w:space="0" w:color="auto"/>
                                <w:bottom w:val="none" w:sz="0" w:space="0" w:color="auto"/>
                                <w:right w:val="none" w:sz="0" w:space="0" w:color="auto"/>
                              </w:divBdr>
                              <w:divsChild>
                                <w:div w:id="867137504">
                                  <w:marLeft w:val="0"/>
                                  <w:marRight w:val="0"/>
                                  <w:marTop w:val="0"/>
                                  <w:marBottom w:val="0"/>
                                  <w:divBdr>
                                    <w:top w:val="none" w:sz="0" w:space="0" w:color="auto"/>
                                    <w:left w:val="none" w:sz="0" w:space="0" w:color="auto"/>
                                    <w:bottom w:val="none" w:sz="0" w:space="0" w:color="auto"/>
                                    <w:right w:val="none" w:sz="0" w:space="0" w:color="auto"/>
                                  </w:divBdr>
                                  <w:divsChild>
                                    <w:div w:id="1639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875084">
      <w:bodyDiv w:val="1"/>
      <w:marLeft w:val="0"/>
      <w:marRight w:val="0"/>
      <w:marTop w:val="0"/>
      <w:marBottom w:val="0"/>
      <w:divBdr>
        <w:top w:val="none" w:sz="0" w:space="0" w:color="auto"/>
        <w:left w:val="none" w:sz="0" w:space="0" w:color="auto"/>
        <w:bottom w:val="none" w:sz="0" w:space="0" w:color="auto"/>
        <w:right w:val="none" w:sz="0" w:space="0" w:color="auto"/>
      </w:divBdr>
    </w:div>
    <w:div w:id="1979721984">
      <w:bodyDiv w:val="1"/>
      <w:marLeft w:val="0"/>
      <w:marRight w:val="0"/>
      <w:marTop w:val="0"/>
      <w:marBottom w:val="0"/>
      <w:divBdr>
        <w:top w:val="none" w:sz="0" w:space="0" w:color="auto"/>
        <w:left w:val="none" w:sz="0" w:space="0" w:color="auto"/>
        <w:bottom w:val="none" w:sz="0" w:space="0" w:color="auto"/>
        <w:right w:val="none" w:sz="0" w:space="0" w:color="auto"/>
      </w:divBdr>
    </w:div>
    <w:div w:id="1981881173">
      <w:bodyDiv w:val="1"/>
      <w:marLeft w:val="0"/>
      <w:marRight w:val="0"/>
      <w:marTop w:val="0"/>
      <w:marBottom w:val="0"/>
      <w:divBdr>
        <w:top w:val="none" w:sz="0" w:space="0" w:color="auto"/>
        <w:left w:val="none" w:sz="0" w:space="0" w:color="auto"/>
        <w:bottom w:val="none" w:sz="0" w:space="0" w:color="auto"/>
        <w:right w:val="none" w:sz="0" w:space="0" w:color="auto"/>
      </w:divBdr>
    </w:div>
    <w:div w:id="2002925869">
      <w:bodyDiv w:val="1"/>
      <w:marLeft w:val="0"/>
      <w:marRight w:val="0"/>
      <w:marTop w:val="0"/>
      <w:marBottom w:val="0"/>
      <w:divBdr>
        <w:top w:val="none" w:sz="0" w:space="0" w:color="auto"/>
        <w:left w:val="none" w:sz="0" w:space="0" w:color="auto"/>
        <w:bottom w:val="none" w:sz="0" w:space="0" w:color="auto"/>
        <w:right w:val="none" w:sz="0" w:space="0" w:color="auto"/>
      </w:divBdr>
    </w:div>
    <w:div w:id="2004506504">
      <w:bodyDiv w:val="1"/>
      <w:marLeft w:val="0"/>
      <w:marRight w:val="0"/>
      <w:marTop w:val="0"/>
      <w:marBottom w:val="0"/>
      <w:divBdr>
        <w:top w:val="none" w:sz="0" w:space="0" w:color="auto"/>
        <w:left w:val="none" w:sz="0" w:space="0" w:color="auto"/>
        <w:bottom w:val="none" w:sz="0" w:space="0" w:color="auto"/>
        <w:right w:val="none" w:sz="0" w:space="0" w:color="auto"/>
      </w:divBdr>
    </w:div>
    <w:div w:id="2014604516">
      <w:bodyDiv w:val="1"/>
      <w:marLeft w:val="0"/>
      <w:marRight w:val="0"/>
      <w:marTop w:val="0"/>
      <w:marBottom w:val="0"/>
      <w:divBdr>
        <w:top w:val="none" w:sz="0" w:space="0" w:color="auto"/>
        <w:left w:val="none" w:sz="0" w:space="0" w:color="auto"/>
        <w:bottom w:val="none" w:sz="0" w:space="0" w:color="auto"/>
        <w:right w:val="none" w:sz="0" w:space="0" w:color="auto"/>
      </w:divBdr>
    </w:div>
    <w:div w:id="2031950345">
      <w:bodyDiv w:val="1"/>
      <w:marLeft w:val="0"/>
      <w:marRight w:val="0"/>
      <w:marTop w:val="0"/>
      <w:marBottom w:val="0"/>
      <w:divBdr>
        <w:top w:val="none" w:sz="0" w:space="0" w:color="auto"/>
        <w:left w:val="none" w:sz="0" w:space="0" w:color="auto"/>
        <w:bottom w:val="none" w:sz="0" w:space="0" w:color="auto"/>
        <w:right w:val="none" w:sz="0" w:space="0" w:color="auto"/>
      </w:divBdr>
    </w:div>
    <w:div w:id="2032758729">
      <w:bodyDiv w:val="1"/>
      <w:marLeft w:val="0"/>
      <w:marRight w:val="0"/>
      <w:marTop w:val="0"/>
      <w:marBottom w:val="0"/>
      <w:divBdr>
        <w:top w:val="none" w:sz="0" w:space="0" w:color="auto"/>
        <w:left w:val="none" w:sz="0" w:space="0" w:color="auto"/>
        <w:bottom w:val="none" w:sz="0" w:space="0" w:color="auto"/>
        <w:right w:val="none" w:sz="0" w:space="0" w:color="auto"/>
      </w:divBdr>
      <w:divsChild>
        <w:div w:id="1336877842">
          <w:marLeft w:val="547"/>
          <w:marRight w:val="0"/>
          <w:marTop w:val="0"/>
          <w:marBottom w:val="0"/>
          <w:divBdr>
            <w:top w:val="none" w:sz="0" w:space="0" w:color="auto"/>
            <w:left w:val="none" w:sz="0" w:space="0" w:color="auto"/>
            <w:bottom w:val="none" w:sz="0" w:space="0" w:color="auto"/>
            <w:right w:val="none" w:sz="0" w:space="0" w:color="auto"/>
          </w:divBdr>
        </w:div>
      </w:divsChild>
    </w:div>
    <w:div w:id="2047635507">
      <w:bodyDiv w:val="1"/>
      <w:marLeft w:val="0"/>
      <w:marRight w:val="0"/>
      <w:marTop w:val="0"/>
      <w:marBottom w:val="0"/>
      <w:divBdr>
        <w:top w:val="none" w:sz="0" w:space="0" w:color="auto"/>
        <w:left w:val="none" w:sz="0" w:space="0" w:color="auto"/>
        <w:bottom w:val="none" w:sz="0" w:space="0" w:color="auto"/>
        <w:right w:val="none" w:sz="0" w:space="0" w:color="auto"/>
      </w:divBdr>
    </w:div>
    <w:div w:id="2065636497">
      <w:bodyDiv w:val="1"/>
      <w:marLeft w:val="0"/>
      <w:marRight w:val="0"/>
      <w:marTop w:val="0"/>
      <w:marBottom w:val="0"/>
      <w:divBdr>
        <w:top w:val="none" w:sz="0" w:space="0" w:color="auto"/>
        <w:left w:val="none" w:sz="0" w:space="0" w:color="auto"/>
        <w:bottom w:val="none" w:sz="0" w:space="0" w:color="auto"/>
        <w:right w:val="none" w:sz="0" w:space="0" w:color="auto"/>
      </w:divBdr>
    </w:div>
    <w:div w:id="2066561475">
      <w:bodyDiv w:val="1"/>
      <w:marLeft w:val="0"/>
      <w:marRight w:val="0"/>
      <w:marTop w:val="0"/>
      <w:marBottom w:val="0"/>
      <w:divBdr>
        <w:top w:val="none" w:sz="0" w:space="0" w:color="auto"/>
        <w:left w:val="none" w:sz="0" w:space="0" w:color="auto"/>
        <w:bottom w:val="none" w:sz="0" w:space="0" w:color="auto"/>
        <w:right w:val="none" w:sz="0" w:space="0" w:color="auto"/>
      </w:divBdr>
    </w:div>
    <w:div w:id="2076514565">
      <w:bodyDiv w:val="1"/>
      <w:marLeft w:val="0"/>
      <w:marRight w:val="0"/>
      <w:marTop w:val="0"/>
      <w:marBottom w:val="0"/>
      <w:divBdr>
        <w:top w:val="none" w:sz="0" w:space="0" w:color="auto"/>
        <w:left w:val="none" w:sz="0" w:space="0" w:color="auto"/>
        <w:bottom w:val="none" w:sz="0" w:space="0" w:color="auto"/>
        <w:right w:val="none" w:sz="0" w:space="0" w:color="auto"/>
      </w:divBdr>
    </w:div>
    <w:div w:id="2084717913">
      <w:bodyDiv w:val="1"/>
      <w:marLeft w:val="0"/>
      <w:marRight w:val="0"/>
      <w:marTop w:val="0"/>
      <w:marBottom w:val="0"/>
      <w:divBdr>
        <w:top w:val="none" w:sz="0" w:space="0" w:color="auto"/>
        <w:left w:val="none" w:sz="0" w:space="0" w:color="auto"/>
        <w:bottom w:val="none" w:sz="0" w:space="0" w:color="auto"/>
        <w:right w:val="none" w:sz="0" w:space="0" w:color="auto"/>
      </w:divBdr>
    </w:div>
    <w:div w:id="2097243770">
      <w:bodyDiv w:val="1"/>
      <w:marLeft w:val="0"/>
      <w:marRight w:val="0"/>
      <w:marTop w:val="0"/>
      <w:marBottom w:val="0"/>
      <w:divBdr>
        <w:top w:val="none" w:sz="0" w:space="0" w:color="auto"/>
        <w:left w:val="none" w:sz="0" w:space="0" w:color="auto"/>
        <w:bottom w:val="none" w:sz="0" w:space="0" w:color="auto"/>
        <w:right w:val="none" w:sz="0" w:space="0" w:color="auto"/>
      </w:divBdr>
    </w:div>
    <w:div w:id="2103145161">
      <w:bodyDiv w:val="1"/>
      <w:marLeft w:val="0"/>
      <w:marRight w:val="0"/>
      <w:marTop w:val="0"/>
      <w:marBottom w:val="0"/>
      <w:divBdr>
        <w:top w:val="none" w:sz="0" w:space="0" w:color="auto"/>
        <w:left w:val="none" w:sz="0" w:space="0" w:color="auto"/>
        <w:bottom w:val="none" w:sz="0" w:space="0" w:color="auto"/>
        <w:right w:val="none" w:sz="0" w:space="0" w:color="auto"/>
      </w:divBdr>
    </w:div>
    <w:div w:id="2105375307">
      <w:bodyDiv w:val="1"/>
      <w:marLeft w:val="0"/>
      <w:marRight w:val="0"/>
      <w:marTop w:val="0"/>
      <w:marBottom w:val="0"/>
      <w:divBdr>
        <w:top w:val="none" w:sz="0" w:space="0" w:color="auto"/>
        <w:left w:val="none" w:sz="0" w:space="0" w:color="auto"/>
        <w:bottom w:val="none" w:sz="0" w:space="0" w:color="auto"/>
        <w:right w:val="none" w:sz="0" w:space="0" w:color="auto"/>
      </w:divBdr>
    </w:div>
    <w:div w:id="2114784912">
      <w:bodyDiv w:val="1"/>
      <w:marLeft w:val="0"/>
      <w:marRight w:val="0"/>
      <w:marTop w:val="0"/>
      <w:marBottom w:val="0"/>
      <w:divBdr>
        <w:top w:val="none" w:sz="0" w:space="0" w:color="auto"/>
        <w:left w:val="none" w:sz="0" w:space="0" w:color="auto"/>
        <w:bottom w:val="none" w:sz="0" w:space="0" w:color="auto"/>
        <w:right w:val="none" w:sz="0" w:space="0" w:color="auto"/>
      </w:divBdr>
    </w:div>
    <w:div w:id="2125298083">
      <w:bodyDiv w:val="1"/>
      <w:marLeft w:val="0"/>
      <w:marRight w:val="0"/>
      <w:marTop w:val="0"/>
      <w:marBottom w:val="0"/>
      <w:divBdr>
        <w:top w:val="none" w:sz="0" w:space="0" w:color="auto"/>
        <w:left w:val="none" w:sz="0" w:space="0" w:color="auto"/>
        <w:bottom w:val="none" w:sz="0" w:space="0" w:color="auto"/>
        <w:right w:val="none" w:sz="0" w:space="0" w:color="auto"/>
      </w:divBdr>
    </w:div>
    <w:div w:id="21404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lobalcarbonproject.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dgar.jrc.ec.europa.e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4.unfccc.int/sites/ndcstaging/PublishedDocuments/Liberia%20First/Liberia%20NDC%202020.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limatewatchdata.org"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ata.worldbank.org/indicator/EN.ATM.CO2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topics/global-stocktake/about-the-global-stocktake/outcome-of-the-first-global-stocktake" TargetMode="External"/><Relationship Id="rId1" Type="http://schemas.openxmlformats.org/officeDocument/2006/relationships/hyperlink" Target="https://unfccc.int/files/meetings/paris_nov_2015/application/pdf/paris_agreement_english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ppData\Roaming\Microsoft\Templates\GH%20Report%20Template%20(ER-Group).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79DA43344384586B9C1BEFE1C0297" ma:contentTypeVersion="0" ma:contentTypeDescription="Opret et nyt dokument." ma:contentTypeScope="" ma:versionID="b4bad4b74e66ae95fe65cfb6b5edbb57">
  <xsd:schema xmlns:xsd="http://www.w3.org/2001/XMLSchema" xmlns:xs="http://www.w3.org/2001/XMLSchema" xmlns:p="http://schemas.microsoft.com/office/2006/metadata/properties" targetNamespace="http://schemas.microsoft.com/office/2006/metadata/properties" ma:root="true" ma:fieldsID="2fbcaf78d3ff96e50bccfeb2fd283a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FijiCurrentundFutureRep</b:Tag>
    <b:SourceType>Report</b:SourceType>
    <b:Guid>{C9A03737-BAD9-4A69-96DD-E5CFDBA1AE74}</b:Guid>
    <b:Author>
      <b:Author>
        <b:Corporate>Global Sustainable Energy Solutions (GSES)</b:Corporate>
      </b:Author>
    </b:Author>
    <b:Title>"Current and Future Markets and Training Needs Report" - Sustainable Energy Training Needs/ Gaps Analysis on Sustainable Energy in pacific ACP Countries</b:Title>
    <b:Year>2015</b:Year>
    <b:Publisher>SPC_USP European Union Pacific Technical Vocational Educational and Training for Sustainable Energy and Climate Change Adaptation Project (EU-PacTVET)</b:Publisher>
    <b:City>Botany, Australia</b:City>
    <b:RefOrder>1</b:RefOrder>
  </b:Source>
  <b:Source>
    <b:Tag>GSES_SynthRep</b:Tag>
    <b:SourceType>Report</b:SourceType>
    <b:Guid>{7BDD85FC-CE7F-4BCA-83F8-82EA29ECBC88}</b:Guid>
    <b:Author>
      <b:Author>
        <b:Corporate>Global Sustainable Energy Solutions (GSES)</b:Corporate>
      </b:Author>
    </b:Author>
    <b:Title>"Synthesis Report" - Sustainable Energy Training Needs/ Gaps Analysis: Sustainable Energy in Pacific ACP Countries</b:Title>
    <b:Year>2015</b:Year>
    <b:Publisher>SPC_USP European Union Pacific Technical Vocational Educational and Training for Sustainable Energy and Climate Change Adaptation Project (EU-PacTVET)</b:Publisher>
    <b:City>Botany, Australia</b:City>
    <b:RefOrder>2</b:RefOrder>
  </b:Source>
  <b:Source>
    <b:Tag>FijiCurrentTrainingRep</b:Tag>
    <b:SourceType>Report</b:SourceType>
    <b:Guid>{27E722E1-02E8-4772-B0A4-ABB11339FBF7}</b:Guid>
    <b:Author>
      <b:Author>
        <b:Corporate>Global Sustainable Energy Solutions (GSES)</b:Corporate>
      </b:Author>
    </b:Author>
    <b:Title>"Current Training Report" - Sustainable Energy Training Gaps Analysis on Sustainable Energy in Pacific ACP Countries</b:Title>
    <b:Year>2015</b:Year>
    <b:Publisher>SPC_USP European Union Pacific Technical Vocational Educational and Training for Sustainable Energy and Climate Change Adaptation Project (EU-PacTVET)</b:Publisher>
    <b:City>Botany, Australia</b:City>
    <b:RefOrder>3</b:RefOrder>
  </b:Source>
  <b:Source>
    <b:Tag>EUPacTVET_SynRep15</b:Tag>
    <b:SourceType>Report</b:SourceType>
    <b:Guid>{360F64FE-24F7-4B59-9BA5-3B9445FE207B}</b:Guid>
    <b:Title>"Synthesis Report 2015"</b:Title>
    <b:Year>2015</b:Year>
    <b:Author>
      <b:Author>
        <b:Corporate>EU-PacTVET</b:Corporate>
      </b:Author>
    </b:Author>
    <b:LCID>en-GB</b:LCID>
    <b:Publisher>European Union Pacific Technical and Vocational Education and Training Project</b:Publisher>
    <b:RefOrder>4</b:RefOrder>
  </b:Source>
  <b:Source>
    <b:Tag>IRENAFiji</b:Tag>
    <b:SourceType>Report</b:SourceType>
    <b:Guid>{04DFA60C-9A0C-4A4C-8192-D12C5EF631D5}</b:Guid>
    <b:Author>
      <b:Author>
        <b:NameList>
          <b:Person>
            <b:Last>Chen</b:Last>
            <b:First>Yong</b:First>
          </b:Person>
          <b:Person>
            <b:Last>Gönül</b:Last>
            <b:First>Gürbüz</b:First>
          </b:Person>
          <b:Person>
            <b:Last>Zieroth</b:Last>
            <b:First>Gerhard</b:First>
          </b:Person>
        </b:NameList>
      </b:Author>
    </b:Author>
    <b:Title>"Fiji Renewable Readiness Assessment"</b:Title>
    <b:Year>2015</b:Year>
    <b:Publisher>(IRENA) International Renewable Energy Agency</b:Publisher>
    <b:RefOrder>5</b:RefOrder>
  </b:Source>
  <b:Source>
    <b:Tag>Fij15</b:Tag>
    <b:SourceType>Misc</b:SourceType>
    <b:Guid>{12B43F30-2B69-4FCC-9684-61D081BE6ABB}</b:Guid>
    <b:Title>UNFCCC - Fiji INDC</b:Title>
    <b:Year>2015</b:Year>
    <b:InternetSiteTitle>UNFCCC</b:InternetSiteTitle>
    <b:Month>October</b:Month>
    <b:Day>20</b:Day>
    <b:URL>http://www4.unfccc.int/Submissions/INDC/Submission%20Pages/submissions.aspx</b:URL>
    <b:PublicationTitle>Fiji’s Intended Nationally Determined Contribution</b:PublicationTitle>
    <b:RefOrder>6</b:RefOrder>
  </b:Source>
  <b:Source>
    <b:Tag>FijiTrainingNeedsRep</b:Tag>
    <b:SourceType>Report</b:SourceType>
    <b:Guid>{3F0198A9-2169-4BBB-BA9E-DE39E5E99E75}</b:Guid>
    <b:Author>
      <b:Author>
        <b:NameList>
          <b:Person>
            <b:Last>Sakiti</b:Last>
            <b:First>Viliame</b:First>
          </b:Person>
        </b:NameList>
      </b:Author>
    </b:Author>
    <b:Title>Fiji Training Needs Analysis Report</b:Title>
    <b:Publisher>The University of the South Pacific, European Union, Secretariat of the Pacific Community</b:Publisher>
    <b:Year>2015</b:Year>
    <b:RefOrder>7</b:RefOrder>
  </b:Source>
  <b:Source>
    <b:Tag>ITP15</b:Tag>
    <b:SourceType>Misc</b:SourceType>
    <b:Guid>{2DC4547B-AAFC-4AE4-9206-8857C56D0FD5}</b:Guid>
    <b:Author>
      <b:Author>
        <b:Corporate>ITP</b:Corporate>
      </b:Author>
    </b:Author>
    <b:Title>Fiji  Renewable  Energy  Investor  Forum  2015  –  Post Event Report</b:Title>
    <b:Year>2015</b:Year>
    <b:Month>June</b:Month>
    <b:RefOrder>8</b:RefOrder>
  </b:Source>
  <b:Source>
    <b:Tag>Mar16</b:Tag>
    <b:SourceType>Report</b:SourceType>
    <b:Guid>{88C89864-A50B-44C9-A8B1-4187C6FF1808}</b:Guid>
    <b:Author>
      <b:Author>
        <b:NameList>
          <b:Person>
            <b:Last>Marr</b:Last>
            <b:First>Marc</b:First>
            <b:Middle>André</b:Middle>
          </b:Person>
          <b:Person>
            <b:Last>Marett</b:Last>
            <b:First>Douglas</b:First>
          </b:Person>
        </b:NameList>
      </b:Author>
    </b:Author>
    <b:Title>Summary Report - “Capacity Building Workshop for Local Stakeholders on the Development of Renewable Energy Power Generation Systems"</b:Title>
    <b:Year>2016</b:Year>
    <b:City>Holstebro</b:City>
    <b:RefOrder>9</b:RefOrder>
  </b:Source>
  <b:Source>
    <b:Tag>UNFnd</b:Tag>
    <b:SourceType>InternetSite</b:SourceType>
    <b:Guid>{4248A6FF-781D-45AE-81ED-F55E3F30659E}</b:Guid>
    <b:Title>Outcome of the first global stocktake</b:Title>
    <b:Year>n. d.</b:Year>
    <b:Author>
      <b:Author>
        <b:Corporate>UNFCCC</b:Corporate>
      </b:Author>
    </b:Author>
    <b:InternetSiteTitle>UNFCCC</b:InternetSiteTitle>
    <b:URL>https://unfccc.int/topics/global-stocktake/about-the-global-stocktake/outcome-of-the-first-global-stocktake</b:URL>
    <b:RefOrder>10</b:RefOrder>
  </b:Source>
  <b:Source>
    <b:Tag>UNF15</b:Tag>
    <b:SourceType>Report</b:SourceType>
    <b:Guid>{C29BAB05-1F06-40FC-9D5A-25F3BBF60094}</b:Guid>
    <b:Title>Paris Agreement</b:Title>
    <b:Year>2015</b:Year>
    <b:URL>https://unfccc.int/files/meetings/paris_nov_2015/application/pdf/paris_agreement_english_.pdf</b:URL>
    <b:Author>
      <b:Author>
        <b:Corporate>UNFCCC</b:Corporate>
      </b:Author>
    </b:Author>
    <b:RefOrder>11</b:RefOrder>
  </b:Source>
  <b:Source>
    <b:Tag>UNDnd</b:Tag>
    <b:SourceType>InternetSite</b:SourceType>
    <b:Guid>{D7D6376F-5A9D-47D8-92B7-3307C6F0FE2B}</b:Guid>
    <b:Title>Liberia</b:Title>
    <b:Year>n. d.</b:Year>
    <b:Author>
      <b:Author>
        <b:Corporate>UNDP</b:Corporate>
      </b:Author>
    </b:Author>
    <b:InternetSiteTitle>UNDP Climate Promise</b:InternetSiteTitle>
    <b:URL>https://climatepromise.undp.org/what-we-do/where-we-work/liberia</b:URL>
    <b:RefOrder>12</b:RefOrder>
  </b:Source>
  <b:Source>
    <b:Tag>The21</b:Tag>
    <b:SourceType>DocumentFromInternetSite</b:SourceType>
    <b:Guid>{B8C6B0C7-9950-426D-B088-499D734D2772}</b:Guid>
    <b:Title> Climate Risk Profile: Liberia</b:Title>
    <b:Year>2021</b:Year>
    <b:URL>https://climateknowledgeportal.worldbank.org/sites/default/files/2021-07/15917-WB_Liberia%20Country%20Profile-WEB%20%281%29.pdf</b:URL>
    <b:Author>
      <b:Author>
        <b:Corporate>The World Bank Group</b:Corporate>
      </b:Author>
    </b:Author>
    <b:RefOrder>13</b:RefOrder>
  </b:Source>
  <b:Source>
    <b:Tag>NDGnd</b:Tag>
    <b:SourceType>InternetSite</b:SourceType>
    <b:Guid>{2554EE37-76C6-4736-8380-850CA89F7C2B}</b:Guid>
    <b:Title>ND-GAIN - Notre Dame Global Adaptation Initiative</b:Title>
    <b:InternetSiteTitle>University of Notre Dame</b:InternetSiteTitle>
    <b:Year>n. d. </b:Year>
    <b:URL>https://gain.nd.edu/our-work/country-index/rankings/</b:URL>
    <b:RefOrder>14</b:RefOrder>
  </b:Source>
</b:Sources>
</file>

<file path=customXml/itemProps1.xml><?xml version="1.0" encoding="utf-8"?>
<ds:datastoreItem xmlns:ds="http://schemas.openxmlformats.org/officeDocument/2006/customXml" ds:itemID="{CDF8174D-5D7D-4E1B-9735-33EDDC9531E4}">
  <ds:schemaRefs>
    <ds:schemaRef ds:uri="http://schemas.microsoft.com/sharepoint/v3/contenttype/forms"/>
  </ds:schemaRefs>
</ds:datastoreItem>
</file>

<file path=customXml/itemProps2.xml><?xml version="1.0" encoding="utf-8"?>
<ds:datastoreItem xmlns:ds="http://schemas.openxmlformats.org/officeDocument/2006/customXml" ds:itemID="{2E733865-8359-45E5-A234-6C250499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654477-FB36-4706-8EA1-56BF87A8F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90F195-C474-4296-AA42-157B67AB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 Report Template (ER-Group)</Template>
  <TotalTime>0</TotalTime>
  <Pages>45</Pages>
  <Words>13135</Words>
  <Characters>74874</Characters>
  <Application>Microsoft Office Word</Application>
  <DocSecurity>0</DocSecurity>
  <Lines>623</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Notatskabelon</vt:lpstr>
      <vt:lpstr>Notatskabelon</vt:lpstr>
    </vt:vector>
  </TitlesOfParts>
  <Company>Grue &amp; Hornstrup</Company>
  <LinksUpToDate>false</LinksUpToDate>
  <CharactersWithSpaces>87834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Notatskabelon</dc:title>
  <dc:subject/>
  <dc:creator>dam</dc:creator>
  <cp:keywords/>
  <dc:description/>
  <cp:lastModifiedBy>Lenovo-T14</cp:lastModifiedBy>
  <cp:revision>2</cp:revision>
  <cp:lastPrinted>2025-02-17T21:09:00Z</cp:lastPrinted>
  <dcterms:created xsi:type="dcterms:W3CDTF">2025-08-12T13:10:00Z</dcterms:created>
  <dcterms:modified xsi:type="dcterms:W3CDTF">2025-08-12T13:10:00Z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0x010100C2079DA43344384586B9C1BEFE1C0297</vt:lpwstr>
  </property>
</Properties>
</file>